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CF213" w14:textId="6BDF6C89" w:rsidR="00071842" w:rsidRPr="004A20EE" w:rsidRDefault="00055279" w:rsidP="005707DB">
      <w:pPr>
        <w:adjustRightInd w:val="0"/>
        <w:snapToGrid w:val="0"/>
        <w:spacing w:line="360" w:lineRule="auto"/>
        <w:jc w:val="center"/>
        <w:rPr>
          <w:b/>
          <w:bCs/>
          <w:sz w:val="30"/>
          <w:szCs w:val="30"/>
        </w:rPr>
      </w:pPr>
      <w:r w:rsidRPr="004A20EE">
        <w:rPr>
          <w:rFonts w:hint="eastAsia"/>
          <w:b/>
          <w:bCs/>
          <w:sz w:val="30"/>
          <w:szCs w:val="30"/>
        </w:rPr>
        <w:t>江苏维尤纳特精细化工有限公司年产</w:t>
      </w:r>
      <w:r w:rsidRPr="004A20EE">
        <w:rPr>
          <w:rFonts w:hint="eastAsia"/>
          <w:b/>
          <w:bCs/>
          <w:sz w:val="30"/>
          <w:szCs w:val="30"/>
        </w:rPr>
        <w:t>3000</w:t>
      </w:r>
      <w:r w:rsidRPr="004A20EE">
        <w:rPr>
          <w:rFonts w:hint="eastAsia"/>
          <w:b/>
          <w:bCs/>
          <w:sz w:val="30"/>
          <w:szCs w:val="30"/>
        </w:rPr>
        <w:t>吨氯氰基苯、</w:t>
      </w:r>
      <w:r w:rsidRPr="004A20EE">
        <w:rPr>
          <w:rFonts w:hint="eastAsia"/>
          <w:b/>
          <w:bCs/>
          <w:sz w:val="30"/>
          <w:szCs w:val="30"/>
        </w:rPr>
        <w:t>2000</w:t>
      </w:r>
      <w:r w:rsidRPr="004A20EE">
        <w:rPr>
          <w:rFonts w:hint="eastAsia"/>
          <w:b/>
          <w:bCs/>
          <w:sz w:val="30"/>
          <w:szCs w:val="30"/>
        </w:rPr>
        <w:t>吨氰基苯、</w:t>
      </w:r>
      <w:r w:rsidRPr="004A20EE">
        <w:rPr>
          <w:rFonts w:hint="eastAsia"/>
          <w:b/>
          <w:bCs/>
          <w:sz w:val="30"/>
          <w:szCs w:val="30"/>
        </w:rPr>
        <w:t>2000</w:t>
      </w:r>
      <w:r w:rsidRPr="004A20EE">
        <w:rPr>
          <w:rFonts w:hint="eastAsia"/>
          <w:b/>
          <w:bCs/>
          <w:sz w:val="30"/>
          <w:szCs w:val="30"/>
        </w:rPr>
        <w:t>吨苯并胍胺、</w:t>
      </w:r>
      <w:r w:rsidRPr="004A20EE">
        <w:rPr>
          <w:rFonts w:hint="eastAsia"/>
          <w:b/>
          <w:bCs/>
          <w:sz w:val="30"/>
          <w:szCs w:val="30"/>
        </w:rPr>
        <w:t>500</w:t>
      </w:r>
      <w:r w:rsidRPr="004A20EE">
        <w:rPr>
          <w:rFonts w:hint="eastAsia"/>
          <w:b/>
          <w:bCs/>
          <w:sz w:val="30"/>
          <w:szCs w:val="30"/>
        </w:rPr>
        <w:t>吨氯酞酸二甲酯、</w:t>
      </w:r>
      <w:r w:rsidRPr="004A20EE">
        <w:rPr>
          <w:rFonts w:hint="eastAsia"/>
          <w:b/>
          <w:bCs/>
          <w:sz w:val="30"/>
          <w:szCs w:val="30"/>
        </w:rPr>
        <w:t>200</w:t>
      </w:r>
      <w:r w:rsidRPr="004A20EE">
        <w:rPr>
          <w:rFonts w:hint="eastAsia"/>
          <w:b/>
          <w:bCs/>
          <w:sz w:val="30"/>
          <w:szCs w:val="30"/>
        </w:rPr>
        <w:t>吨四氟苯菊酯、</w:t>
      </w:r>
      <w:r w:rsidRPr="004A20EE">
        <w:rPr>
          <w:rFonts w:hint="eastAsia"/>
          <w:b/>
          <w:bCs/>
          <w:sz w:val="30"/>
          <w:szCs w:val="30"/>
        </w:rPr>
        <w:t>200</w:t>
      </w:r>
      <w:r w:rsidRPr="004A20EE">
        <w:rPr>
          <w:rFonts w:hint="eastAsia"/>
          <w:b/>
          <w:bCs/>
          <w:sz w:val="30"/>
          <w:szCs w:val="30"/>
        </w:rPr>
        <w:t>吨嘧菌酯、</w:t>
      </w:r>
      <w:r w:rsidRPr="004A20EE">
        <w:rPr>
          <w:rFonts w:hint="eastAsia"/>
          <w:b/>
          <w:bCs/>
          <w:sz w:val="30"/>
          <w:szCs w:val="30"/>
        </w:rPr>
        <w:t>500</w:t>
      </w:r>
      <w:r w:rsidRPr="004A20EE">
        <w:rPr>
          <w:rFonts w:hint="eastAsia"/>
          <w:b/>
          <w:bCs/>
          <w:sz w:val="30"/>
          <w:szCs w:val="30"/>
        </w:rPr>
        <w:t>吨苯达松技改项目（一期工程）（</w:t>
      </w:r>
      <w:bookmarkStart w:id="0" w:name="_Hlk50023267"/>
      <w:r w:rsidR="00B925C9" w:rsidRPr="004A20EE">
        <w:rPr>
          <w:rFonts w:hint="eastAsia"/>
          <w:b/>
          <w:bCs/>
          <w:sz w:val="30"/>
          <w:szCs w:val="30"/>
        </w:rPr>
        <w:t>固体废物</w:t>
      </w:r>
      <w:r w:rsidRPr="004A20EE">
        <w:rPr>
          <w:rFonts w:hint="eastAsia"/>
          <w:b/>
          <w:bCs/>
          <w:sz w:val="30"/>
          <w:szCs w:val="30"/>
        </w:rPr>
        <w:t>部分</w:t>
      </w:r>
      <w:bookmarkEnd w:id="0"/>
      <w:r w:rsidRPr="004A20EE">
        <w:rPr>
          <w:rFonts w:hint="eastAsia"/>
          <w:b/>
          <w:bCs/>
          <w:sz w:val="30"/>
          <w:szCs w:val="30"/>
        </w:rPr>
        <w:t>）</w:t>
      </w:r>
      <w:r w:rsidR="00071842" w:rsidRPr="004A20EE">
        <w:rPr>
          <w:b/>
          <w:bCs/>
          <w:sz w:val="30"/>
          <w:szCs w:val="30"/>
        </w:rPr>
        <w:t>竣工环境保护验收意见</w:t>
      </w:r>
    </w:p>
    <w:p w14:paraId="42BF7029" w14:textId="77777777" w:rsidR="006A2F91" w:rsidRPr="004A20EE" w:rsidRDefault="006A2F91" w:rsidP="006A2F91">
      <w:pPr>
        <w:pStyle w:val="2"/>
        <w:adjustRightInd w:val="0"/>
        <w:spacing w:line="240" w:lineRule="auto"/>
        <w:ind w:left="0" w:firstLineChars="0" w:firstLine="0"/>
        <w:rPr>
          <w:rFonts w:ascii="Times New Roman" w:hAnsi="Times New Roman"/>
          <w:sz w:val="10"/>
          <w:szCs w:val="10"/>
        </w:rPr>
      </w:pPr>
    </w:p>
    <w:p w14:paraId="453EA3A6" w14:textId="07837872" w:rsidR="00C67B41" w:rsidRPr="004A20EE" w:rsidRDefault="00071842" w:rsidP="00540FD0">
      <w:pPr>
        <w:adjustRightInd w:val="0"/>
        <w:snapToGrid w:val="0"/>
        <w:spacing w:line="490" w:lineRule="exact"/>
        <w:ind w:firstLineChars="200" w:firstLine="480"/>
        <w:rPr>
          <w:sz w:val="24"/>
          <w:szCs w:val="24"/>
        </w:rPr>
      </w:pPr>
      <w:r w:rsidRPr="004A20EE">
        <w:rPr>
          <w:sz w:val="24"/>
          <w:szCs w:val="24"/>
        </w:rPr>
        <w:t>20</w:t>
      </w:r>
      <w:r w:rsidR="00B925C9" w:rsidRPr="004A20EE">
        <w:rPr>
          <w:sz w:val="24"/>
          <w:szCs w:val="24"/>
        </w:rPr>
        <w:t>20</w:t>
      </w:r>
      <w:r w:rsidRPr="004A20EE">
        <w:rPr>
          <w:sz w:val="24"/>
          <w:szCs w:val="24"/>
        </w:rPr>
        <w:t>年</w:t>
      </w:r>
      <w:r w:rsidR="00B925C9" w:rsidRPr="004A20EE">
        <w:rPr>
          <w:sz w:val="24"/>
          <w:szCs w:val="24"/>
        </w:rPr>
        <w:t>9</w:t>
      </w:r>
      <w:r w:rsidRPr="004A20EE">
        <w:rPr>
          <w:sz w:val="24"/>
          <w:szCs w:val="24"/>
        </w:rPr>
        <w:t>月</w:t>
      </w:r>
      <w:r w:rsidR="00B925C9" w:rsidRPr="004A20EE">
        <w:rPr>
          <w:sz w:val="24"/>
          <w:szCs w:val="24"/>
        </w:rPr>
        <w:t>4</w:t>
      </w:r>
      <w:r w:rsidRPr="004A20EE">
        <w:rPr>
          <w:sz w:val="24"/>
          <w:szCs w:val="24"/>
        </w:rPr>
        <w:t>日，</w:t>
      </w:r>
      <w:r w:rsidR="00055279" w:rsidRPr="004A20EE">
        <w:rPr>
          <w:rFonts w:hint="eastAsia"/>
          <w:sz w:val="24"/>
          <w:szCs w:val="24"/>
        </w:rPr>
        <w:t>江苏维尤纳特精细化工有限公司</w:t>
      </w:r>
      <w:r w:rsidRPr="004A20EE">
        <w:rPr>
          <w:sz w:val="24"/>
          <w:szCs w:val="24"/>
        </w:rPr>
        <w:t>对照《建设项目竣工环境保护验收技术指南</w:t>
      </w:r>
      <w:r w:rsidR="005707DB" w:rsidRPr="004A20EE">
        <w:rPr>
          <w:rFonts w:hint="eastAsia"/>
          <w:sz w:val="24"/>
          <w:szCs w:val="24"/>
        </w:rPr>
        <w:t xml:space="preserve"> </w:t>
      </w:r>
      <w:r w:rsidRPr="004A20EE">
        <w:rPr>
          <w:sz w:val="24"/>
          <w:szCs w:val="24"/>
        </w:rPr>
        <w:t>污染影响类》，在</w:t>
      </w:r>
      <w:r w:rsidR="00055279" w:rsidRPr="004A20EE">
        <w:rPr>
          <w:rFonts w:hint="eastAsia"/>
          <w:sz w:val="24"/>
          <w:szCs w:val="24"/>
        </w:rPr>
        <w:t>新沂市</w:t>
      </w:r>
      <w:r w:rsidRPr="004A20EE">
        <w:rPr>
          <w:sz w:val="24"/>
          <w:szCs w:val="24"/>
        </w:rPr>
        <w:t>组织召开了《</w:t>
      </w:r>
      <w:r w:rsidR="00055279" w:rsidRPr="004A20EE">
        <w:rPr>
          <w:rFonts w:hint="eastAsia"/>
          <w:sz w:val="24"/>
          <w:szCs w:val="24"/>
        </w:rPr>
        <w:t>江苏维尤纳特精细化工有限公司年产</w:t>
      </w:r>
      <w:r w:rsidR="00055279" w:rsidRPr="004A20EE">
        <w:rPr>
          <w:rFonts w:hint="eastAsia"/>
          <w:sz w:val="24"/>
          <w:szCs w:val="24"/>
        </w:rPr>
        <w:t>3000</w:t>
      </w:r>
      <w:r w:rsidR="00055279" w:rsidRPr="004A20EE">
        <w:rPr>
          <w:rFonts w:hint="eastAsia"/>
          <w:sz w:val="24"/>
          <w:szCs w:val="24"/>
        </w:rPr>
        <w:t>吨氯氰基苯、</w:t>
      </w:r>
      <w:r w:rsidR="00055279" w:rsidRPr="004A20EE">
        <w:rPr>
          <w:rFonts w:hint="eastAsia"/>
          <w:sz w:val="24"/>
          <w:szCs w:val="24"/>
        </w:rPr>
        <w:t>2000</w:t>
      </w:r>
      <w:r w:rsidR="00055279" w:rsidRPr="004A20EE">
        <w:rPr>
          <w:rFonts w:hint="eastAsia"/>
          <w:sz w:val="24"/>
          <w:szCs w:val="24"/>
        </w:rPr>
        <w:t>吨氰基苯、</w:t>
      </w:r>
      <w:r w:rsidR="00055279" w:rsidRPr="004A20EE">
        <w:rPr>
          <w:rFonts w:hint="eastAsia"/>
          <w:sz w:val="24"/>
          <w:szCs w:val="24"/>
        </w:rPr>
        <w:t>2000</w:t>
      </w:r>
      <w:r w:rsidR="00055279" w:rsidRPr="004A20EE">
        <w:rPr>
          <w:rFonts w:hint="eastAsia"/>
          <w:sz w:val="24"/>
          <w:szCs w:val="24"/>
        </w:rPr>
        <w:t>吨苯并胍胺、</w:t>
      </w:r>
      <w:r w:rsidR="00055279" w:rsidRPr="004A20EE">
        <w:rPr>
          <w:rFonts w:hint="eastAsia"/>
          <w:sz w:val="24"/>
          <w:szCs w:val="24"/>
        </w:rPr>
        <w:t>500</w:t>
      </w:r>
      <w:r w:rsidR="00055279" w:rsidRPr="004A20EE">
        <w:rPr>
          <w:rFonts w:hint="eastAsia"/>
          <w:sz w:val="24"/>
          <w:szCs w:val="24"/>
        </w:rPr>
        <w:t>吨氯酞酸二甲酯、</w:t>
      </w:r>
      <w:r w:rsidR="00055279" w:rsidRPr="004A20EE">
        <w:rPr>
          <w:rFonts w:hint="eastAsia"/>
          <w:sz w:val="24"/>
          <w:szCs w:val="24"/>
        </w:rPr>
        <w:t>200</w:t>
      </w:r>
      <w:r w:rsidR="00055279" w:rsidRPr="004A20EE">
        <w:rPr>
          <w:rFonts w:hint="eastAsia"/>
          <w:sz w:val="24"/>
          <w:szCs w:val="24"/>
        </w:rPr>
        <w:t>吨四氟苯菊酯、</w:t>
      </w:r>
      <w:r w:rsidR="00055279" w:rsidRPr="004A20EE">
        <w:rPr>
          <w:rFonts w:hint="eastAsia"/>
          <w:sz w:val="24"/>
          <w:szCs w:val="24"/>
        </w:rPr>
        <w:t>200</w:t>
      </w:r>
      <w:r w:rsidR="00055279" w:rsidRPr="004A20EE">
        <w:rPr>
          <w:rFonts w:hint="eastAsia"/>
          <w:sz w:val="24"/>
          <w:szCs w:val="24"/>
        </w:rPr>
        <w:t>吨嘧菌酯、</w:t>
      </w:r>
      <w:r w:rsidR="00055279" w:rsidRPr="004A20EE">
        <w:rPr>
          <w:rFonts w:hint="eastAsia"/>
          <w:sz w:val="24"/>
          <w:szCs w:val="24"/>
        </w:rPr>
        <w:t>500</w:t>
      </w:r>
      <w:r w:rsidR="00055279" w:rsidRPr="004A20EE">
        <w:rPr>
          <w:rFonts w:hint="eastAsia"/>
          <w:sz w:val="24"/>
          <w:szCs w:val="24"/>
        </w:rPr>
        <w:t>吨苯达松技改项目（一期工程）（</w:t>
      </w:r>
      <w:r w:rsidR="00D725E0" w:rsidRPr="004A20EE">
        <w:rPr>
          <w:rFonts w:hint="eastAsia"/>
          <w:sz w:val="24"/>
          <w:szCs w:val="24"/>
        </w:rPr>
        <w:t>固体废物部分</w:t>
      </w:r>
      <w:r w:rsidR="00055279" w:rsidRPr="004A20EE">
        <w:rPr>
          <w:rFonts w:hint="eastAsia"/>
          <w:sz w:val="24"/>
          <w:szCs w:val="24"/>
        </w:rPr>
        <w:t>）</w:t>
      </w:r>
      <w:r w:rsidRPr="004A20EE">
        <w:rPr>
          <w:sz w:val="24"/>
          <w:szCs w:val="24"/>
        </w:rPr>
        <w:t>》竣工环境保护验收会。</w:t>
      </w:r>
      <w:r w:rsidRPr="004A20EE">
        <w:rPr>
          <w:sz w:val="24"/>
          <w:szCs w:val="32"/>
        </w:rPr>
        <w:t>参加会议的有</w:t>
      </w:r>
      <w:r w:rsidR="00055279" w:rsidRPr="004A20EE">
        <w:rPr>
          <w:sz w:val="24"/>
          <w:szCs w:val="32"/>
        </w:rPr>
        <w:t>徐州正阳环保工程有限公司（验收监测报告编制单位）</w:t>
      </w:r>
      <w:r w:rsidR="00C67B41" w:rsidRPr="004A20EE">
        <w:rPr>
          <w:sz w:val="24"/>
          <w:szCs w:val="24"/>
        </w:rPr>
        <w:t>单位人员</w:t>
      </w:r>
      <w:r w:rsidR="004A20EE" w:rsidRPr="004A20EE">
        <w:rPr>
          <w:rFonts w:hint="eastAsia"/>
          <w:sz w:val="24"/>
          <w:szCs w:val="24"/>
        </w:rPr>
        <w:t>，</w:t>
      </w:r>
      <w:r w:rsidR="00C67B41" w:rsidRPr="004A20EE">
        <w:rPr>
          <w:sz w:val="24"/>
          <w:szCs w:val="24"/>
        </w:rPr>
        <w:t>共</w:t>
      </w:r>
      <w:r w:rsidR="004A20EE" w:rsidRPr="004A20EE">
        <w:rPr>
          <w:rFonts w:hint="eastAsia"/>
          <w:sz w:val="24"/>
          <w:szCs w:val="24"/>
        </w:rPr>
        <w:t>5</w:t>
      </w:r>
      <w:r w:rsidR="00C67B41" w:rsidRPr="004A20EE">
        <w:rPr>
          <w:sz w:val="24"/>
          <w:szCs w:val="24"/>
        </w:rPr>
        <w:t>人。</w:t>
      </w:r>
    </w:p>
    <w:p w14:paraId="0F18DE1E" w14:textId="1607F4F6" w:rsidR="00071842" w:rsidRPr="004A20EE" w:rsidRDefault="00071842" w:rsidP="004A20EE">
      <w:pPr>
        <w:adjustRightInd w:val="0"/>
        <w:snapToGrid w:val="0"/>
        <w:spacing w:line="490" w:lineRule="exact"/>
        <w:ind w:firstLineChars="200" w:firstLine="480"/>
        <w:rPr>
          <w:sz w:val="24"/>
          <w:szCs w:val="24"/>
        </w:rPr>
      </w:pPr>
      <w:r w:rsidRPr="004A20EE">
        <w:rPr>
          <w:sz w:val="24"/>
          <w:szCs w:val="24"/>
        </w:rPr>
        <w:t>与会人员现场核查了项目</w:t>
      </w:r>
      <w:r w:rsidR="00540FD0" w:rsidRPr="004A20EE">
        <w:rPr>
          <w:sz w:val="24"/>
          <w:szCs w:val="24"/>
        </w:rPr>
        <w:t>一期工程</w:t>
      </w:r>
      <w:r w:rsidR="004A20EE" w:rsidRPr="004A20EE">
        <w:rPr>
          <w:rFonts w:hint="eastAsia"/>
          <w:sz w:val="24"/>
          <w:szCs w:val="24"/>
        </w:rPr>
        <w:t>固废暂存场所</w:t>
      </w:r>
      <w:r w:rsidRPr="004A20EE">
        <w:rPr>
          <w:sz w:val="24"/>
          <w:szCs w:val="24"/>
        </w:rPr>
        <w:t>，查阅</w:t>
      </w:r>
      <w:r w:rsidR="00540FD0" w:rsidRPr="004A20EE">
        <w:rPr>
          <w:sz w:val="24"/>
          <w:szCs w:val="24"/>
        </w:rPr>
        <w:t>了环境影响报告书</w:t>
      </w:r>
      <w:r w:rsidRPr="004A20EE">
        <w:rPr>
          <w:sz w:val="24"/>
          <w:szCs w:val="24"/>
        </w:rPr>
        <w:t>、竣工环境保护验收监测报告等相关材料，根据《建设项目竣工环境保护验收技术指南</w:t>
      </w:r>
      <w:r w:rsidR="005707DB" w:rsidRPr="004A20EE">
        <w:rPr>
          <w:rFonts w:hint="eastAsia"/>
          <w:sz w:val="24"/>
          <w:szCs w:val="24"/>
        </w:rPr>
        <w:t xml:space="preserve"> </w:t>
      </w:r>
      <w:r w:rsidRPr="004A20EE">
        <w:rPr>
          <w:sz w:val="24"/>
          <w:szCs w:val="24"/>
        </w:rPr>
        <w:t>污染影响类》（生态环保部公告，</w:t>
      </w:r>
      <w:r w:rsidRPr="004A20EE">
        <w:rPr>
          <w:sz w:val="24"/>
          <w:szCs w:val="24"/>
        </w:rPr>
        <w:t>2018</w:t>
      </w:r>
      <w:r w:rsidRPr="004A20EE">
        <w:rPr>
          <w:sz w:val="24"/>
          <w:szCs w:val="24"/>
        </w:rPr>
        <w:t>年第</w:t>
      </w:r>
      <w:r w:rsidRPr="004A20EE">
        <w:rPr>
          <w:sz w:val="24"/>
          <w:szCs w:val="24"/>
        </w:rPr>
        <w:t>9</w:t>
      </w:r>
      <w:r w:rsidRPr="004A20EE">
        <w:rPr>
          <w:sz w:val="24"/>
          <w:szCs w:val="24"/>
        </w:rPr>
        <w:t>号）以及企业自行验收相关要求，经认真讨论形成环保验收意</w:t>
      </w:r>
      <w:r w:rsidRPr="004A20EE">
        <w:rPr>
          <w:sz w:val="24"/>
          <w:szCs w:val="32"/>
        </w:rPr>
        <w:t>见（</w:t>
      </w:r>
      <w:r w:rsidR="00B925C9" w:rsidRPr="004A20EE">
        <w:rPr>
          <w:rFonts w:hint="eastAsia"/>
          <w:sz w:val="24"/>
          <w:szCs w:val="32"/>
        </w:rPr>
        <w:t>固体废物部分</w:t>
      </w:r>
      <w:r w:rsidRPr="004A20EE">
        <w:rPr>
          <w:sz w:val="24"/>
          <w:szCs w:val="32"/>
        </w:rPr>
        <w:t>）</w:t>
      </w:r>
      <w:r w:rsidRPr="004A20EE">
        <w:rPr>
          <w:sz w:val="24"/>
          <w:szCs w:val="24"/>
        </w:rPr>
        <w:t>如下：</w:t>
      </w:r>
    </w:p>
    <w:p w14:paraId="480DCAF6" w14:textId="77777777" w:rsidR="00071842" w:rsidRPr="004A20EE" w:rsidRDefault="00071842" w:rsidP="00540FD0">
      <w:pPr>
        <w:adjustRightInd w:val="0"/>
        <w:snapToGrid w:val="0"/>
        <w:spacing w:line="490" w:lineRule="exact"/>
        <w:ind w:firstLine="200"/>
        <w:rPr>
          <w:b/>
          <w:sz w:val="24"/>
          <w:szCs w:val="24"/>
        </w:rPr>
      </w:pPr>
      <w:r w:rsidRPr="004A20EE">
        <w:rPr>
          <w:b/>
          <w:sz w:val="24"/>
          <w:szCs w:val="24"/>
        </w:rPr>
        <w:t>一、工程建设基本情况</w:t>
      </w:r>
    </w:p>
    <w:p w14:paraId="543023B2" w14:textId="77777777" w:rsidR="00071842" w:rsidRPr="004A20EE" w:rsidRDefault="00071842" w:rsidP="00540FD0">
      <w:pPr>
        <w:tabs>
          <w:tab w:val="left" w:pos="5600"/>
        </w:tabs>
        <w:adjustRightInd w:val="0"/>
        <w:snapToGrid w:val="0"/>
        <w:spacing w:line="490" w:lineRule="exact"/>
        <w:ind w:firstLineChars="200" w:firstLine="482"/>
        <w:rPr>
          <w:sz w:val="24"/>
          <w:szCs w:val="24"/>
        </w:rPr>
      </w:pPr>
      <w:r w:rsidRPr="004A20EE">
        <w:rPr>
          <w:b/>
          <w:bCs/>
          <w:sz w:val="24"/>
          <w:szCs w:val="24"/>
        </w:rPr>
        <w:t>1</w:t>
      </w:r>
      <w:r w:rsidRPr="004A20EE">
        <w:rPr>
          <w:b/>
          <w:bCs/>
          <w:sz w:val="24"/>
          <w:szCs w:val="24"/>
        </w:rPr>
        <w:t>、建设地点、规模、主要建设内容</w:t>
      </w:r>
    </w:p>
    <w:p w14:paraId="55D645D2" w14:textId="77777777" w:rsidR="00055279" w:rsidRPr="004A20EE" w:rsidRDefault="00055279" w:rsidP="00055279">
      <w:pPr>
        <w:adjustRightInd w:val="0"/>
        <w:snapToGrid w:val="0"/>
        <w:spacing w:line="490" w:lineRule="exact"/>
        <w:ind w:firstLineChars="200" w:firstLine="480"/>
        <w:rPr>
          <w:sz w:val="24"/>
        </w:rPr>
      </w:pPr>
      <w:r w:rsidRPr="004A20EE">
        <w:rPr>
          <w:rFonts w:hint="eastAsia"/>
          <w:sz w:val="24"/>
        </w:rPr>
        <w:t>江苏维尤纳特精细化工有限公司于</w:t>
      </w:r>
      <w:r w:rsidRPr="004A20EE">
        <w:rPr>
          <w:rFonts w:hint="eastAsia"/>
          <w:sz w:val="24"/>
        </w:rPr>
        <w:t>2016</w:t>
      </w:r>
      <w:r w:rsidRPr="004A20EE">
        <w:rPr>
          <w:rFonts w:hint="eastAsia"/>
          <w:sz w:val="24"/>
        </w:rPr>
        <w:t>年在现有厂区预留空地上建设年产</w:t>
      </w:r>
      <w:r w:rsidRPr="004A20EE">
        <w:rPr>
          <w:rFonts w:hint="eastAsia"/>
          <w:sz w:val="24"/>
        </w:rPr>
        <w:t>3000</w:t>
      </w:r>
      <w:r w:rsidRPr="004A20EE">
        <w:rPr>
          <w:rFonts w:hint="eastAsia"/>
          <w:sz w:val="24"/>
        </w:rPr>
        <w:t>吨氯氰基苯、</w:t>
      </w:r>
      <w:r w:rsidRPr="004A20EE">
        <w:rPr>
          <w:rFonts w:hint="eastAsia"/>
          <w:sz w:val="24"/>
        </w:rPr>
        <w:t>2000</w:t>
      </w:r>
      <w:r w:rsidRPr="004A20EE">
        <w:rPr>
          <w:rFonts w:hint="eastAsia"/>
          <w:sz w:val="24"/>
        </w:rPr>
        <w:t>吨氰基苯、</w:t>
      </w:r>
      <w:r w:rsidRPr="004A20EE">
        <w:rPr>
          <w:rFonts w:hint="eastAsia"/>
          <w:sz w:val="24"/>
        </w:rPr>
        <w:t>2000</w:t>
      </w:r>
      <w:r w:rsidRPr="004A20EE">
        <w:rPr>
          <w:rFonts w:hint="eastAsia"/>
          <w:sz w:val="24"/>
        </w:rPr>
        <w:t>吨苯并胍胺、</w:t>
      </w:r>
      <w:r w:rsidRPr="004A20EE">
        <w:rPr>
          <w:rFonts w:hint="eastAsia"/>
          <w:sz w:val="24"/>
        </w:rPr>
        <w:t>500</w:t>
      </w:r>
      <w:r w:rsidRPr="004A20EE">
        <w:rPr>
          <w:rFonts w:hint="eastAsia"/>
          <w:sz w:val="24"/>
        </w:rPr>
        <w:t>吨氯酞酸二甲酯、</w:t>
      </w:r>
      <w:r w:rsidRPr="004A20EE">
        <w:rPr>
          <w:rFonts w:hint="eastAsia"/>
          <w:sz w:val="24"/>
        </w:rPr>
        <w:t>200</w:t>
      </w:r>
      <w:r w:rsidRPr="004A20EE">
        <w:rPr>
          <w:rFonts w:hint="eastAsia"/>
          <w:sz w:val="24"/>
        </w:rPr>
        <w:t>吨四氟苯菊酯、</w:t>
      </w:r>
      <w:r w:rsidRPr="004A20EE">
        <w:rPr>
          <w:rFonts w:hint="eastAsia"/>
          <w:sz w:val="24"/>
        </w:rPr>
        <w:t>200</w:t>
      </w:r>
      <w:r w:rsidRPr="004A20EE">
        <w:rPr>
          <w:rFonts w:hint="eastAsia"/>
          <w:sz w:val="24"/>
        </w:rPr>
        <w:t>吨嘧菌酯、</w:t>
      </w:r>
      <w:r w:rsidRPr="004A20EE">
        <w:rPr>
          <w:rFonts w:hint="eastAsia"/>
          <w:sz w:val="24"/>
        </w:rPr>
        <w:t>500</w:t>
      </w:r>
      <w:r w:rsidRPr="004A20EE">
        <w:rPr>
          <w:rFonts w:hint="eastAsia"/>
          <w:sz w:val="24"/>
        </w:rPr>
        <w:t>吨苯达松技改项目。</w:t>
      </w:r>
    </w:p>
    <w:p w14:paraId="1841612F" w14:textId="77777777" w:rsidR="00026C47" w:rsidRPr="004A20EE" w:rsidRDefault="00055279" w:rsidP="00055279">
      <w:pPr>
        <w:adjustRightInd w:val="0"/>
        <w:snapToGrid w:val="0"/>
        <w:spacing w:line="490" w:lineRule="exact"/>
        <w:ind w:firstLineChars="200" w:firstLine="480"/>
        <w:rPr>
          <w:sz w:val="24"/>
        </w:rPr>
      </w:pPr>
      <w:r w:rsidRPr="004A20EE">
        <w:rPr>
          <w:rFonts w:hint="eastAsia"/>
          <w:sz w:val="24"/>
        </w:rPr>
        <w:t>截止至</w:t>
      </w:r>
      <w:r w:rsidRPr="004A20EE">
        <w:rPr>
          <w:rFonts w:hint="eastAsia"/>
          <w:sz w:val="24"/>
        </w:rPr>
        <w:t>2018</w:t>
      </w:r>
      <w:r w:rsidRPr="004A20EE">
        <w:rPr>
          <w:rFonts w:hint="eastAsia"/>
          <w:sz w:val="24"/>
        </w:rPr>
        <w:t>年</w:t>
      </w:r>
      <w:r w:rsidRPr="004A20EE">
        <w:rPr>
          <w:rFonts w:hint="eastAsia"/>
          <w:sz w:val="24"/>
        </w:rPr>
        <w:t>4</w:t>
      </w:r>
      <w:r w:rsidRPr="004A20EE">
        <w:rPr>
          <w:rFonts w:hint="eastAsia"/>
          <w:sz w:val="24"/>
        </w:rPr>
        <w:t>月，</w:t>
      </w:r>
      <w:r w:rsidR="006C148A" w:rsidRPr="004A20EE">
        <w:rPr>
          <w:rFonts w:hint="eastAsia"/>
          <w:sz w:val="24"/>
        </w:rPr>
        <w:t>本项目一期工程</w:t>
      </w:r>
      <w:r w:rsidRPr="004A20EE">
        <w:rPr>
          <w:rFonts w:hint="eastAsia"/>
          <w:sz w:val="24"/>
        </w:rPr>
        <w:t>基本建设完成，主要内容包括：</w:t>
      </w:r>
      <w:r w:rsidRPr="004A20EE">
        <w:rPr>
          <w:rFonts w:hint="eastAsia"/>
          <w:sz w:val="24"/>
        </w:rPr>
        <w:t>3</w:t>
      </w:r>
      <w:r w:rsidRPr="004A20EE">
        <w:rPr>
          <w:rFonts w:hint="eastAsia"/>
          <w:sz w:val="24"/>
        </w:rPr>
        <w:t>条氯氰基苯生产线、</w:t>
      </w:r>
      <w:r w:rsidR="003E447A" w:rsidRPr="004A20EE">
        <w:rPr>
          <w:sz w:val="24"/>
        </w:rPr>
        <w:t>3</w:t>
      </w:r>
      <w:r w:rsidRPr="004A20EE">
        <w:rPr>
          <w:rFonts w:hint="eastAsia"/>
          <w:sz w:val="24"/>
        </w:rPr>
        <w:t>条氰基苯生产线和相关配套的公辅工程、环保工程。</w:t>
      </w:r>
      <w:r w:rsidR="006C148A" w:rsidRPr="004A20EE">
        <w:rPr>
          <w:sz w:val="24"/>
        </w:rPr>
        <w:t>本项目一期工程</w:t>
      </w:r>
      <w:r w:rsidR="00026C47" w:rsidRPr="004A20EE">
        <w:rPr>
          <w:sz w:val="24"/>
        </w:rPr>
        <w:t>产品方案实际生产能力为</w:t>
      </w:r>
      <w:r w:rsidRPr="004A20EE">
        <w:rPr>
          <w:sz w:val="24"/>
        </w:rPr>
        <w:t>氰基苯</w:t>
      </w:r>
      <w:r w:rsidRPr="004A20EE">
        <w:rPr>
          <w:rFonts w:hint="eastAsia"/>
          <w:sz w:val="24"/>
        </w:rPr>
        <w:t>2</w:t>
      </w:r>
      <w:r w:rsidRPr="004A20EE">
        <w:rPr>
          <w:sz w:val="24"/>
        </w:rPr>
        <w:t>000</w:t>
      </w:r>
      <w:r w:rsidR="00026C47" w:rsidRPr="004A20EE">
        <w:rPr>
          <w:sz w:val="24"/>
        </w:rPr>
        <w:t>吨</w:t>
      </w:r>
      <w:r w:rsidR="00026C47" w:rsidRPr="004A20EE">
        <w:rPr>
          <w:sz w:val="24"/>
        </w:rPr>
        <w:t>/</w:t>
      </w:r>
      <w:r w:rsidR="00026C47" w:rsidRPr="004A20EE">
        <w:rPr>
          <w:sz w:val="24"/>
        </w:rPr>
        <w:t>年，</w:t>
      </w:r>
      <w:r w:rsidRPr="004A20EE">
        <w:rPr>
          <w:rFonts w:hint="eastAsia"/>
          <w:sz w:val="24"/>
        </w:rPr>
        <w:t>氯氰基苯</w:t>
      </w:r>
      <w:r w:rsidRPr="004A20EE">
        <w:rPr>
          <w:sz w:val="24"/>
        </w:rPr>
        <w:t>3000</w:t>
      </w:r>
      <w:r w:rsidRPr="004A20EE">
        <w:rPr>
          <w:sz w:val="24"/>
        </w:rPr>
        <w:t>吨</w:t>
      </w:r>
      <w:r w:rsidRPr="004A20EE">
        <w:rPr>
          <w:sz w:val="24"/>
        </w:rPr>
        <w:t>/</w:t>
      </w:r>
      <w:r w:rsidRPr="004A20EE">
        <w:rPr>
          <w:sz w:val="24"/>
        </w:rPr>
        <w:t>年</w:t>
      </w:r>
      <w:r w:rsidR="00026C47" w:rsidRPr="004A20EE">
        <w:rPr>
          <w:sz w:val="24"/>
        </w:rPr>
        <w:t>。</w:t>
      </w:r>
    </w:p>
    <w:p w14:paraId="1F39FE06" w14:textId="77777777" w:rsidR="005707DB" w:rsidRPr="004A20EE" w:rsidRDefault="00071842" w:rsidP="005707DB">
      <w:pPr>
        <w:adjustRightInd w:val="0"/>
        <w:snapToGrid w:val="0"/>
        <w:spacing w:line="490" w:lineRule="exact"/>
        <w:ind w:firstLineChars="200" w:firstLine="482"/>
        <w:rPr>
          <w:b/>
          <w:bCs/>
          <w:sz w:val="24"/>
          <w:szCs w:val="24"/>
        </w:rPr>
      </w:pPr>
      <w:r w:rsidRPr="004A20EE">
        <w:rPr>
          <w:b/>
          <w:bCs/>
          <w:sz w:val="24"/>
          <w:szCs w:val="24"/>
        </w:rPr>
        <w:t>2</w:t>
      </w:r>
      <w:r w:rsidRPr="004A20EE">
        <w:rPr>
          <w:b/>
          <w:bCs/>
          <w:sz w:val="24"/>
          <w:szCs w:val="24"/>
        </w:rPr>
        <w:t>、建设过程及环保审批情况</w:t>
      </w:r>
    </w:p>
    <w:p w14:paraId="0ED2FDA1" w14:textId="77777777" w:rsidR="005707DB" w:rsidRPr="004A20EE" w:rsidRDefault="003E447A" w:rsidP="005707DB">
      <w:pPr>
        <w:adjustRightInd w:val="0"/>
        <w:snapToGrid w:val="0"/>
        <w:spacing w:line="490" w:lineRule="exact"/>
        <w:ind w:firstLineChars="200" w:firstLine="480"/>
        <w:rPr>
          <w:b/>
          <w:bCs/>
          <w:sz w:val="24"/>
          <w:szCs w:val="24"/>
        </w:rPr>
      </w:pPr>
      <w:r w:rsidRPr="004A20EE">
        <w:rPr>
          <w:rFonts w:hint="eastAsia"/>
          <w:sz w:val="24"/>
        </w:rPr>
        <w:t>江苏维尤纳特精细化工有限公司</w:t>
      </w:r>
      <w:r w:rsidR="005707DB" w:rsidRPr="004A20EE">
        <w:rPr>
          <w:rFonts w:hint="eastAsia"/>
          <w:sz w:val="24"/>
        </w:rPr>
        <w:t>于</w:t>
      </w:r>
      <w:r w:rsidR="005707DB" w:rsidRPr="004A20EE">
        <w:rPr>
          <w:rFonts w:hint="eastAsia"/>
          <w:sz w:val="24"/>
        </w:rPr>
        <w:t>201</w:t>
      </w:r>
      <w:r w:rsidR="00055279" w:rsidRPr="004A20EE">
        <w:rPr>
          <w:sz w:val="24"/>
        </w:rPr>
        <w:t>6</w:t>
      </w:r>
      <w:r w:rsidR="005707DB" w:rsidRPr="004A20EE">
        <w:rPr>
          <w:rFonts w:hint="eastAsia"/>
          <w:sz w:val="24"/>
        </w:rPr>
        <w:t>年委托</w:t>
      </w:r>
      <w:r w:rsidR="00055279" w:rsidRPr="004A20EE">
        <w:rPr>
          <w:sz w:val="24"/>
          <w:szCs w:val="24"/>
        </w:rPr>
        <w:t>江苏诚智工程设计咨询有限公司</w:t>
      </w:r>
      <w:r w:rsidR="005707DB" w:rsidRPr="004A20EE">
        <w:rPr>
          <w:rFonts w:hint="eastAsia"/>
          <w:sz w:val="24"/>
        </w:rPr>
        <w:t>编制了</w:t>
      </w:r>
      <w:r w:rsidR="00055279" w:rsidRPr="004A20EE">
        <w:rPr>
          <w:sz w:val="24"/>
          <w:szCs w:val="24"/>
        </w:rPr>
        <w:t>《江苏维尤纳特精细化工有限公司年产</w:t>
      </w:r>
      <w:r w:rsidR="00055279" w:rsidRPr="004A20EE">
        <w:rPr>
          <w:sz w:val="24"/>
          <w:szCs w:val="24"/>
        </w:rPr>
        <w:t>3000</w:t>
      </w:r>
      <w:r w:rsidR="00055279" w:rsidRPr="004A20EE">
        <w:rPr>
          <w:sz w:val="24"/>
          <w:szCs w:val="24"/>
        </w:rPr>
        <w:t>吨氯氰基苯、</w:t>
      </w:r>
      <w:r w:rsidR="00055279" w:rsidRPr="004A20EE">
        <w:rPr>
          <w:sz w:val="24"/>
          <w:szCs w:val="24"/>
        </w:rPr>
        <w:t>2000</w:t>
      </w:r>
      <w:r w:rsidR="00055279" w:rsidRPr="004A20EE">
        <w:rPr>
          <w:sz w:val="24"/>
          <w:szCs w:val="24"/>
        </w:rPr>
        <w:t>吨氰基苯、</w:t>
      </w:r>
      <w:r w:rsidR="00055279" w:rsidRPr="004A20EE">
        <w:rPr>
          <w:sz w:val="24"/>
          <w:szCs w:val="24"/>
        </w:rPr>
        <w:t>2000</w:t>
      </w:r>
      <w:r w:rsidR="00055279" w:rsidRPr="004A20EE">
        <w:rPr>
          <w:sz w:val="24"/>
          <w:szCs w:val="24"/>
        </w:rPr>
        <w:t>吨苯并胍胺、</w:t>
      </w:r>
      <w:r w:rsidR="00055279" w:rsidRPr="004A20EE">
        <w:rPr>
          <w:sz w:val="24"/>
          <w:szCs w:val="24"/>
        </w:rPr>
        <w:t>500</w:t>
      </w:r>
      <w:r w:rsidR="00055279" w:rsidRPr="004A20EE">
        <w:rPr>
          <w:sz w:val="24"/>
          <w:szCs w:val="24"/>
        </w:rPr>
        <w:t>吨氯酞酸二甲酯、</w:t>
      </w:r>
      <w:r w:rsidR="00055279" w:rsidRPr="004A20EE">
        <w:rPr>
          <w:sz w:val="24"/>
          <w:szCs w:val="24"/>
        </w:rPr>
        <w:t>200</w:t>
      </w:r>
      <w:r w:rsidR="00055279" w:rsidRPr="004A20EE">
        <w:rPr>
          <w:sz w:val="24"/>
          <w:szCs w:val="24"/>
        </w:rPr>
        <w:t>吨四氟苯菊酯、</w:t>
      </w:r>
      <w:r w:rsidR="00055279" w:rsidRPr="004A20EE">
        <w:rPr>
          <w:sz w:val="24"/>
          <w:szCs w:val="24"/>
        </w:rPr>
        <w:t>200</w:t>
      </w:r>
      <w:r w:rsidR="00055279" w:rsidRPr="004A20EE">
        <w:rPr>
          <w:sz w:val="24"/>
          <w:szCs w:val="24"/>
        </w:rPr>
        <w:t>吨嘧菌酯、</w:t>
      </w:r>
      <w:r w:rsidR="00055279" w:rsidRPr="004A20EE">
        <w:rPr>
          <w:sz w:val="24"/>
          <w:szCs w:val="24"/>
        </w:rPr>
        <w:t>500</w:t>
      </w:r>
      <w:r w:rsidR="00055279" w:rsidRPr="004A20EE">
        <w:rPr>
          <w:sz w:val="24"/>
          <w:szCs w:val="24"/>
        </w:rPr>
        <w:t>吨苯达松技改项目环境影响报告书》</w:t>
      </w:r>
      <w:r w:rsidR="005707DB" w:rsidRPr="004A20EE">
        <w:rPr>
          <w:rFonts w:hint="eastAsia"/>
          <w:sz w:val="24"/>
        </w:rPr>
        <w:t>，并于</w:t>
      </w:r>
      <w:r w:rsidR="005707DB" w:rsidRPr="004A20EE">
        <w:rPr>
          <w:rFonts w:hint="eastAsia"/>
          <w:sz w:val="24"/>
        </w:rPr>
        <w:t>201</w:t>
      </w:r>
      <w:r w:rsidR="00055279" w:rsidRPr="004A20EE">
        <w:rPr>
          <w:sz w:val="24"/>
        </w:rPr>
        <w:t>6</w:t>
      </w:r>
      <w:r w:rsidR="005707DB" w:rsidRPr="004A20EE">
        <w:rPr>
          <w:rFonts w:hint="eastAsia"/>
          <w:sz w:val="24"/>
        </w:rPr>
        <w:t>年</w:t>
      </w:r>
      <w:r w:rsidR="00055279" w:rsidRPr="004A20EE">
        <w:rPr>
          <w:rFonts w:hint="eastAsia"/>
          <w:sz w:val="24"/>
        </w:rPr>
        <w:t>7</w:t>
      </w:r>
      <w:r w:rsidR="005707DB" w:rsidRPr="004A20EE">
        <w:rPr>
          <w:rFonts w:hint="eastAsia"/>
          <w:sz w:val="24"/>
        </w:rPr>
        <w:t>月</w:t>
      </w:r>
      <w:r w:rsidR="005707DB" w:rsidRPr="004A20EE">
        <w:rPr>
          <w:rFonts w:hint="eastAsia"/>
          <w:sz w:val="24"/>
        </w:rPr>
        <w:t>1</w:t>
      </w:r>
      <w:r w:rsidR="00055279" w:rsidRPr="004A20EE">
        <w:rPr>
          <w:sz w:val="24"/>
        </w:rPr>
        <w:t>4</w:t>
      </w:r>
      <w:r w:rsidR="005707DB" w:rsidRPr="004A20EE">
        <w:rPr>
          <w:rFonts w:hint="eastAsia"/>
          <w:sz w:val="24"/>
        </w:rPr>
        <w:t>日取得了徐</w:t>
      </w:r>
      <w:r w:rsidR="005707DB" w:rsidRPr="004A20EE">
        <w:rPr>
          <w:rFonts w:hint="eastAsia"/>
          <w:sz w:val="24"/>
        </w:rPr>
        <w:lastRenderedPageBreak/>
        <w:t>州市环保局出具的</w:t>
      </w:r>
      <w:r w:rsidR="00055279" w:rsidRPr="004A20EE">
        <w:rPr>
          <w:rFonts w:hint="eastAsia"/>
          <w:sz w:val="24"/>
        </w:rPr>
        <w:t>《关于江苏维尤纳特精细化工有限公司年产</w:t>
      </w:r>
      <w:r w:rsidR="00055279" w:rsidRPr="004A20EE">
        <w:rPr>
          <w:rFonts w:hint="eastAsia"/>
          <w:sz w:val="24"/>
        </w:rPr>
        <w:t>3000</w:t>
      </w:r>
      <w:r w:rsidR="00055279" w:rsidRPr="004A20EE">
        <w:rPr>
          <w:rFonts w:hint="eastAsia"/>
          <w:sz w:val="24"/>
        </w:rPr>
        <w:t>吨氯氰基苯、</w:t>
      </w:r>
      <w:r w:rsidR="00055279" w:rsidRPr="004A20EE">
        <w:rPr>
          <w:rFonts w:hint="eastAsia"/>
          <w:sz w:val="24"/>
        </w:rPr>
        <w:t>2000</w:t>
      </w:r>
      <w:r w:rsidR="00055279" w:rsidRPr="004A20EE">
        <w:rPr>
          <w:rFonts w:hint="eastAsia"/>
          <w:sz w:val="24"/>
        </w:rPr>
        <w:t>吨氰基苯、</w:t>
      </w:r>
      <w:r w:rsidR="00055279" w:rsidRPr="004A20EE">
        <w:rPr>
          <w:rFonts w:hint="eastAsia"/>
          <w:sz w:val="24"/>
        </w:rPr>
        <w:t>2000</w:t>
      </w:r>
      <w:r w:rsidR="00055279" w:rsidRPr="004A20EE">
        <w:rPr>
          <w:rFonts w:hint="eastAsia"/>
          <w:sz w:val="24"/>
        </w:rPr>
        <w:t>吨苯并胍胺、</w:t>
      </w:r>
      <w:r w:rsidR="00055279" w:rsidRPr="004A20EE">
        <w:rPr>
          <w:rFonts w:hint="eastAsia"/>
          <w:sz w:val="24"/>
        </w:rPr>
        <w:t>500</w:t>
      </w:r>
      <w:r w:rsidR="00055279" w:rsidRPr="004A20EE">
        <w:rPr>
          <w:rFonts w:hint="eastAsia"/>
          <w:sz w:val="24"/>
        </w:rPr>
        <w:t>吨氯酞酸二甲酯、</w:t>
      </w:r>
      <w:r w:rsidR="00055279" w:rsidRPr="004A20EE">
        <w:rPr>
          <w:rFonts w:hint="eastAsia"/>
          <w:sz w:val="24"/>
        </w:rPr>
        <w:t>200</w:t>
      </w:r>
      <w:r w:rsidR="00055279" w:rsidRPr="004A20EE">
        <w:rPr>
          <w:rFonts w:hint="eastAsia"/>
          <w:sz w:val="24"/>
        </w:rPr>
        <w:t>吨四氟苯菊酯、</w:t>
      </w:r>
      <w:r w:rsidR="00055279" w:rsidRPr="004A20EE">
        <w:rPr>
          <w:rFonts w:hint="eastAsia"/>
          <w:sz w:val="24"/>
        </w:rPr>
        <w:t>200</w:t>
      </w:r>
      <w:r w:rsidR="00055279" w:rsidRPr="004A20EE">
        <w:rPr>
          <w:rFonts w:hint="eastAsia"/>
          <w:sz w:val="24"/>
        </w:rPr>
        <w:t>吨嘧菌酯、</w:t>
      </w:r>
      <w:r w:rsidR="00055279" w:rsidRPr="004A20EE">
        <w:rPr>
          <w:rFonts w:hint="eastAsia"/>
          <w:sz w:val="24"/>
        </w:rPr>
        <w:t>500</w:t>
      </w:r>
      <w:r w:rsidR="00055279" w:rsidRPr="004A20EE">
        <w:rPr>
          <w:rFonts w:hint="eastAsia"/>
          <w:sz w:val="24"/>
        </w:rPr>
        <w:t>吨苯达松技改项目环境影响报告书的批复》（徐环项书</w:t>
      </w:r>
      <w:r w:rsidR="00055279" w:rsidRPr="004A20EE">
        <w:rPr>
          <w:rFonts w:hint="eastAsia"/>
          <w:sz w:val="24"/>
        </w:rPr>
        <w:t>[2016]10</w:t>
      </w:r>
      <w:r w:rsidR="00055279" w:rsidRPr="004A20EE">
        <w:rPr>
          <w:rFonts w:hint="eastAsia"/>
          <w:sz w:val="24"/>
        </w:rPr>
        <w:t>号）</w:t>
      </w:r>
      <w:r w:rsidR="005707DB" w:rsidRPr="004A20EE">
        <w:rPr>
          <w:rFonts w:hint="eastAsia"/>
          <w:sz w:val="24"/>
        </w:rPr>
        <w:t>。</w:t>
      </w:r>
    </w:p>
    <w:p w14:paraId="4F58CDF9" w14:textId="77777777" w:rsidR="00071842" w:rsidRPr="004A20EE" w:rsidRDefault="00071842" w:rsidP="00540FD0">
      <w:pPr>
        <w:adjustRightInd w:val="0"/>
        <w:snapToGrid w:val="0"/>
        <w:spacing w:line="490" w:lineRule="exact"/>
        <w:ind w:firstLineChars="200" w:firstLine="482"/>
        <w:rPr>
          <w:b/>
          <w:bCs/>
          <w:sz w:val="24"/>
          <w:szCs w:val="24"/>
        </w:rPr>
      </w:pPr>
      <w:r w:rsidRPr="004A20EE">
        <w:rPr>
          <w:b/>
          <w:bCs/>
          <w:sz w:val="24"/>
          <w:szCs w:val="24"/>
        </w:rPr>
        <w:t>3</w:t>
      </w:r>
      <w:r w:rsidRPr="004A20EE">
        <w:rPr>
          <w:b/>
          <w:bCs/>
          <w:sz w:val="24"/>
          <w:szCs w:val="24"/>
        </w:rPr>
        <w:t>、投资情况</w:t>
      </w:r>
    </w:p>
    <w:p w14:paraId="1CE2A40C" w14:textId="77777777" w:rsidR="00071842" w:rsidRPr="004A20EE" w:rsidRDefault="006C148A" w:rsidP="00540FD0">
      <w:pPr>
        <w:adjustRightInd w:val="0"/>
        <w:snapToGrid w:val="0"/>
        <w:spacing w:line="490" w:lineRule="exact"/>
        <w:ind w:firstLineChars="200" w:firstLine="480"/>
        <w:rPr>
          <w:sz w:val="24"/>
          <w:szCs w:val="32"/>
        </w:rPr>
      </w:pPr>
      <w:r w:rsidRPr="004A20EE">
        <w:rPr>
          <w:sz w:val="24"/>
          <w:szCs w:val="32"/>
        </w:rPr>
        <w:t>本项目一期工程</w:t>
      </w:r>
      <w:r w:rsidR="00071842" w:rsidRPr="004A20EE">
        <w:rPr>
          <w:sz w:val="24"/>
          <w:szCs w:val="32"/>
        </w:rPr>
        <w:t>总投资</w:t>
      </w:r>
      <w:r w:rsidR="00055279" w:rsidRPr="004A20EE">
        <w:rPr>
          <w:sz w:val="24"/>
          <w:szCs w:val="32"/>
        </w:rPr>
        <w:t>25</w:t>
      </w:r>
      <w:r w:rsidR="002041F4" w:rsidRPr="004A20EE">
        <w:rPr>
          <w:sz w:val="24"/>
          <w:szCs w:val="32"/>
        </w:rPr>
        <w:t>0</w:t>
      </w:r>
      <w:r w:rsidR="005707DB" w:rsidRPr="004A20EE">
        <w:rPr>
          <w:sz w:val="24"/>
          <w:szCs w:val="32"/>
        </w:rPr>
        <w:t>0</w:t>
      </w:r>
      <w:r w:rsidR="002041F4" w:rsidRPr="004A20EE">
        <w:rPr>
          <w:sz w:val="24"/>
          <w:szCs w:val="32"/>
        </w:rPr>
        <w:t>0</w:t>
      </w:r>
      <w:r w:rsidR="00071842" w:rsidRPr="004A20EE">
        <w:rPr>
          <w:sz w:val="24"/>
          <w:szCs w:val="32"/>
        </w:rPr>
        <w:t>万元，其中环保投资</w:t>
      </w:r>
      <w:r w:rsidR="00055279" w:rsidRPr="004A20EE">
        <w:rPr>
          <w:sz w:val="24"/>
          <w:szCs w:val="32"/>
        </w:rPr>
        <w:t>15</w:t>
      </w:r>
      <w:r w:rsidR="00521CE4" w:rsidRPr="004A20EE">
        <w:rPr>
          <w:sz w:val="24"/>
          <w:szCs w:val="32"/>
        </w:rPr>
        <w:t>00</w:t>
      </w:r>
      <w:r w:rsidR="00071842" w:rsidRPr="004A20EE">
        <w:rPr>
          <w:sz w:val="24"/>
          <w:szCs w:val="32"/>
        </w:rPr>
        <w:t>万元，占总投资的</w:t>
      </w:r>
      <w:r w:rsidR="00055279" w:rsidRPr="004A20EE">
        <w:rPr>
          <w:sz w:val="24"/>
          <w:szCs w:val="32"/>
        </w:rPr>
        <w:t>6</w:t>
      </w:r>
      <w:r w:rsidR="00071842" w:rsidRPr="004A20EE">
        <w:rPr>
          <w:sz w:val="24"/>
          <w:szCs w:val="32"/>
        </w:rPr>
        <w:t>%</w:t>
      </w:r>
      <w:r w:rsidR="00071842" w:rsidRPr="004A20EE">
        <w:rPr>
          <w:sz w:val="24"/>
          <w:szCs w:val="32"/>
        </w:rPr>
        <w:t>。</w:t>
      </w:r>
    </w:p>
    <w:p w14:paraId="3DBC2AFD" w14:textId="77777777" w:rsidR="00071842" w:rsidRPr="004A20EE" w:rsidRDefault="00071842" w:rsidP="00540FD0">
      <w:pPr>
        <w:adjustRightInd w:val="0"/>
        <w:snapToGrid w:val="0"/>
        <w:spacing w:line="490" w:lineRule="exact"/>
        <w:ind w:firstLineChars="200" w:firstLine="482"/>
        <w:rPr>
          <w:b/>
          <w:bCs/>
          <w:sz w:val="24"/>
          <w:szCs w:val="24"/>
        </w:rPr>
      </w:pPr>
      <w:r w:rsidRPr="004A20EE">
        <w:rPr>
          <w:b/>
          <w:bCs/>
          <w:sz w:val="24"/>
          <w:szCs w:val="24"/>
        </w:rPr>
        <w:t>4</w:t>
      </w:r>
      <w:r w:rsidRPr="004A20EE">
        <w:rPr>
          <w:b/>
          <w:bCs/>
          <w:sz w:val="24"/>
          <w:szCs w:val="24"/>
        </w:rPr>
        <w:t>、验收范围</w:t>
      </w:r>
    </w:p>
    <w:p w14:paraId="6BF0B95C" w14:textId="77777777" w:rsidR="00B925C9" w:rsidRPr="004A20EE" w:rsidRDefault="00B925C9" w:rsidP="00540FD0">
      <w:pPr>
        <w:adjustRightInd w:val="0"/>
        <w:snapToGrid w:val="0"/>
        <w:spacing w:line="490" w:lineRule="exact"/>
        <w:ind w:firstLineChars="200" w:firstLine="480"/>
        <w:rPr>
          <w:sz w:val="24"/>
        </w:rPr>
      </w:pPr>
      <w:r w:rsidRPr="004A20EE">
        <w:rPr>
          <w:rFonts w:hint="eastAsia"/>
          <w:sz w:val="24"/>
        </w:rPr>
        <w:t>2</w:t>
      </w:r>
      <w:r w:rsidRPr="004A20EE">
        <w:rPr>
          <w:sz w:val="24"/>
        </w:rPr>
        <w:t>019</w:t>
      </w:r>
      <w:r w:rsidRPr="004A20EE">
        <w:rPr>
          <w:rFonts w:hint="eastAsia"/>
          <w:sz w:val="24"/>
        </w:rPr>
        <w:t>年</w:t>
      </w:r>
      <w:r w:rsidRPr="004A20EE">
        <w:rPr>
          <w:rFonts w:hint="eastAsia"/>
          <w:sz w:val="24"/>
        </w:rPr>
        <w:t>6</w:t>
      </w:r>
      <w:r w:rsidRPr="004A20EE">
        <w:rPr>
          <w:rFonts w:hint="eastAsia"/>
          <w:sz w:val="24"/>
        </w:rPr>
        <w:t>月</w:t>
      </w:r>
      <w:r w:rsidRPr="004A20EE">
        <w:rPr>
          <w:rFonts w:hint="eastAsia"/>
          <w:sz w:val="24"/>
        </w:rPr>
        <w:t>1</w:t>
      </w:r>
      <w:r w:rsidRPr="004A20EE">
        <w:rPr>
          <w:rFonts w:hint="eastAsia"/>
          <w:sz w:val="24"/>
        </w:rPr>
        <w:t>日</w:t>
      </w:r>
      <w:r w:rsidR="00055279" w:rsidRPr="004A20EE">
        <w:rPr>
          <w:rFonts w:hint="eastAsia"/>
          <w:sz w:val="24"/>
        </w:rPr>
        <w:t>，</w:t>
      </w:r>
      <w:r w:rsidRPr="004A20EE">
        <w:rPr>
          <w:rFonts w:hint="eastAsia"/>
          <w:sz w:val="24"/>
        </w:rPr>
        <w:t>江苏维尤纳特精细化工有限公司年产</w:t>
      </w:r>
      <w:r w:rsidRPr="004A20EE">
        <w:rPr>
          <w:rFonts w:hint="eastAsia"/>
          <w:sz w:val="24"/>
        </w:rPr>
        <w:t>3000</w:t>
      </w:r>
      <w:r w:rsidRPr="004A20EE">
        <w:rPr>
          <w:rFonts w:hint="eastAsia"/>
          <w:sz w:val="24"/>
        </w:rPr>
        <w:t>吨氯氰基苯、</w:t>
      </w:r>
      <w:r w:rsidRPr="004A20EE">
        <w:rPr>
          <w:rFonts w:hint="eastAsia"/>
          <w:sz w:val="24"/>
        </w:rPr>
        <w:t>2000</w:t>
      </w:r>
      <w:r w:rsidRPr="004A20EE">
        <w:rPr>
          <w:rFonts w:hint="eastAsia"/>
          <w:sz w:val="24"/>
        </w:rPr>
        <w:t>吨氰基苯、</w:t>
      </w:r>
      <w:r w:rsidRPr="004A20EE">
        <w:rPr>
          <w:rFonts w:hint="eastAsia"/>
          <w:sz w:val="24"/>
        </w:rPr>
        <w:t>2000</w:t>
      </w:r>
      <w:r w:rsidRPr="004A20EE">
        <w:rPr>
          <w:rFonts w:hint="eastAsia"/>
          <w:sz w:val="24"/>
        </w:rPr>
        <w:t>吨苯并胍胺、</w:t>
      </w:r>
      <w:r w:rsidRPr="004A20EE">
        <w:rPr>
          <w:rFonts w:hint="eastAsia"/>
          <w:sz w:val="24"/>
        </w:rPr>
        <w:t>500</w:t>
      </w:r>
      <w:r w:rsidRPr="004A20EE">
        <w:rPr>
          <w:rFonts w:hint="eastAsia"/>
          <w:sz w:val="24"/>
        </w:rPr>
        <w:t>吨氯酞酸二甲酯、</w:t>
      </w:r>
      <w:r w:rsidRPr="004A20EE">
        <w:rPr>
          <w:rFonts w:hint="eastAsia"/>
          <w:sz w:val="24"/>
        </w:rPr>
        <w:t>200</w:t>
      </w:r>
      <w:r w:rsidRPr="004A20EE">
        <w:rPr>
          <w:rFonts w:hint="eastAsia"/>
          <w:sz w:val="24"/>
        </w:rPr>
        <w:t>吨四氟苯菊酯、</w:t>
      </w:r>
      <w:r w:rsidRPr="004A20EE">
        <w:rPr>
          <w:rFonts w:hint="eastAsia"/>
          <w:sz w:val="24"/>
        </w:rPr>
        <w:t>200</w:t>
      </w:r>
      <w:r w:rsidRPr="004A20EE">
        <w:rPr>
          <w:rFonts w:hint="eastAsia"/>
          <w:sz w:val="24"/>
        </w:rPr>
        <w:t>吨嘧菌酯、</w:t>
      </w:r>
      <w:r w:rsidRPr="004A20EE">
        <w:rPr>
          <w:rFonts w:hint="eastAsia"/>
          <w:sz w:val="24"/>
        </w:rPr>
        <w:t>500</w:t>
      </w:r>
      <w:r w:rsidRPr="004A20EE">
        <w:rPr>
          <w:rFonts w:hint="eastAsia"/>
          <w:sz w:val="24"/>
        </w:rPr>
        <w:t>吨苯达松技改项目（一期工程）（废水、废气、噪声部分）已通过竣工环境保护验收。</w:t>
      </w:r>
    </w:p>
    <w:p w14:paraId="3ECCEE1D" w14:textId="4B3FA016" w:rsidR="00026C47" w:rsidRPr="004A20EE" w:rsidRDefault="002069AB" w:rsidP="00540FD0">
      <w:pPr>
        <w:adjustRightInd w:val="0"/>
        <w:snapToGrid w:val="0"/>
        <w:spacing w:line="490" w:lineRule="exact"/>
        <w:ind w:firstLineChars="200" w:firstLine="480"/>
      </w:pPr>
      <w:r w:rsidRPr="002069AB">
        <w:rPr>
          <w:sz w:val="24"/>
        </w:rPr>
        <w:t>由于《中华人民共和国固体废物污染环境防治法》的更新实施，</w:t>
      </w:r>
      <w:r w:rsidR="00B925C9" w:rsidRPr="004A20EE">
        <w:rPr>
          <w:rFonts w:hint="eastAsia"/>
          <w:sz w:val="24"/>
        </w:rPr>
        <w:t>本次仅对一期工程固体废物部分开展竣工环境保护验收工作。</w:t>
      </w:r>
    </w:p>
    <w:p w14:paraId="56D79D95" w14:textId="77777777" w:rsidR="00071842" w:rsidRPr="004A20EE" w:rsidRDefault="00071842" w:rsidP="00540FD0">
      <w:pPr>
        <w:adjustRightInd w:val="0"/>
        <w:snapToGrid w:val="0"/>
        <w:spacing w:line="490" w:lineRule="exact"/>
        <w:ind w:firstLineChars="200" w:firstLine="482"/>
        <w:rPr>
          <w:b/>
          <w:sz w:val="24"/>
          <w:szCs w:val="24"/>
        </w:rPr>
      </w:pPr>
      <w:r w:rsidRPr="004A20EE">
        <w:rPr>
          <w:b/>
          <w:sz w:val="24"/>
          <w:szCs w:val="24"/>
        </w:rPr>
        <w:t>二、工程变动情况</w:t>
      </w:r>
    </w:p>
    <w:p w14:paraId="28C54F2C" w14:textId="77777777" w:rsidR="00026C47" w:rsidRPr="004A20EE" w:rsidRDefault="00026C47" w:rsidP="00540FD0">
      <w:pPr>
        <w:adjustRightInd w:val="0"/>
        <w:snapToGrid w:val="0"/>
        <w:spacing w:line="490" w:lineRule="exact"/>
        <w:ind w:firstLineChars="200" w:firstLine="480"/>
        <w:rPr>
          <w:sz w:val="24"/>
          <w:szCs w:val="32"/>
        </w:rPr>
      </w:pPr>
      <w:r w:rsidRPr="004A20EE">
        <w:rPr>
          <w:sz w:val="24"/>
          <w:szCs w:val="32"/>
        </w:rPr>
        <w:t>对照环评报告书及批复，</w:t>
      </w:r>
      <w:r w:rsidR="006C148A" w:rsidRPr="004A20EE">
        <w:rPr>
          <w:sz w:val="24"/>
          <w:szCs w:val="32"/>
        </w:rPr>
        <w:t>本项目一期工程</w:t>
      </w:r>
      <w:r w:rsidRPr="004A20EE">
        <w:rPr>
          <w:sz w:val="24"/>
          <w:szCs w:val="32"/>
        </w:rPr>
        <w:t>的主要变动内容包括：</w:t>
      </w:r>
    </w:p>
    <w:p w14:paraId="347B0FFF" w14:textId="77777777" w:rsidR="00055279" w:rsidRPr="004A20EE" w:rsidRDefault="006C148A" w:rsidP="00055279">
      <w:pPr>
        <w:adjustRightInd w:val="0"/>
        <w:snapToGrid w:val="0"/>
        <w:spacing w:line="490" w:lineRule="exact"/>
        <w:ind w:firstLineChars="200" w:firstLine="480"/>
        <w:rPr>
          <w:sz w:val="24"/>
          <w:szCs w:val="32"/>
        </w:rPr>
      </w:pPr>
      <w:r w:rsidRPr="004A20EE">
        <w:rPr>
          <w:rFonts w:hint="eastAsia"/>
          <w:sz w:val="24"/>
          <w:szCs w:val="32"/>
        </w:rPr>
        <w:t>本项目一期工程</w:t>
      </w:r>
      <w:r w:rsidR="00055279" w:rsidRPr="004A20EE">
        <w:rPr>
          <w:rFonts w:hint="eastAsia"/>
          <w:sz w:val="24"/>
          <w:szCs w:val="32"/>
        </w:rPr>
        <w:t>主要变动内容包括：</w:t>
      </w:r>
    </w:p>
    <w:p w14:paraId="70216846"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w:t>
      </w:r>
      <w:r w:rsidRPr="004A20EE">
        <w:rPr>
          <w:rFonts w:hint="eastAsia"/>
          <w:sz w:val="24"/>
          <w:szCs w:val="32"/>
        </w:rPr>
        <w:t>1</w:t>
      </w:r>
      <w:r w:rsidRPr="004A20EE">
        <w:rPr>
          <w:rFonts w:hint="eastAsia"/>
          <w:sz w:val="24"/>
          <w:szCs w:val="32"/>
        </w:rPr>
        <w:t>）主要生产车间、生产线位置调整</w:t>
      </w:r>
    </w:p>
    <w:p w14:paraId="4CAA3FF0"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原环评阶段：氰基苯车间位于对苯二腈车间东侧；四氯邻苯二腈和五氯苯甲腈生产设备布置在氯氰基苯车间。</w:t>
      </w:r>
    </w:p>
    <w:p w14:paraId="3A63B36E"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实际建设情况：氰基苯生产车间所在位置调整至对苯二腈车间北侧，原氰基苯生产车间所在位置调整为罐区装卸区；四氯邻苯二腈和五氯苯甲腈生产设备布置在已建四氯对苯二腈车间。</w:t>
      </w:r>
    </w:p>
    <w:p w14:paraId="1DE74340"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w:t>
      </w:r>
      <w:r w:rsidRPr="004A20EE">
        <w:rPr>
          <w:rFonts w:hint="eastAsia"/>
          <w:sz w:val="24"/>
          <w:szCs w:val="32"/>
        </w:rPr>
        <w:t>2</w:t>
      </w:r>
      <w:r w:rsidRPr="004A20EE">
        <w:rPr>
          <w:rFonts w:hint="eastAsia"/>
          <w:sz w:val="24"/>
          <w:szCs w:val="32"/>
        </w:rPr>
        <w:t>）氰基苯生产车间工艺尾气处理措施调整</w:t>
      </w:r>
    </w:p>
    <w:p w14:paraId="4C0BC23F"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原环评阶段：氰基苯氨氧化反应过程中有含氨废气通过捕集器水吸收及汽提脱氨、硫酸喷淋吸收装置，处理后的废气经</w:t>
      </w:r>
      <w:r w:rsidRPr="004A20EE">
        <w:rPr>
          <w:rFonts w:hint="eastAsia"/>
          <w:sz w:val="24"/>
          <w:szCs w:val="32"/>
        </w:rPr>
        <w:t>30m</w:t>
      </w:r>
      <w:r w:rsidRPr="004A20EE">
        <w:rPr>
          <w:rFonts w:hint="eastAsia"/>
          <w:sz w:val="24"/>
          <w:szCs w:val="32"/>
        </w:rPr>
        <w:t>高排气筒排放；氰基苯在烘干阶段产生粉尘，采用旋风除尘加布袋除尘装置处理后经含氨废气排气筒排放。</w:t>
      </w:r>
    </w:p>
    <w:p w14:paraId="7A27B61D"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实际建设情况：</w:t>
      </w:r>
      <w:r w:rsidRPr="004A20EE">
        <w:rPr>
          <w:rFonts w:hint="eastAsia"/>
          <w:sz w:val="24"/>
          <w:szCs w:val="32"/>
        </w:rPr>
        <w:t>2018</w:t>
      </w:r>
      <w:r w:rsidRPr="004A20EE">
        <w:rPr>
          <w:rFonts w:hint="eastAsia"/>
          <w:sz w:val="24"/>
          <w:szCs w:val="32"/>
        </w:rPr>
        <w:t>年新建“废气综合治理改造项目”，含氨废气处理工艺改为</w:t>
      </w:r>
      <w:r w:rsidRPr="004A20EE">
        <w:rPr>
          <w:rFonts w:hint="eastAsia"/>
          <w:sz w:val="24"/>
          <w:szCs w:val="32"/>
        </w:rPr>
        <w:t>RTO</w:t>
      </w:r>
      <w:r w:rsidRPr="004A20EE">
        <w:rPr>
          <w:rFonts w:hint="eastAsia"/>
          <w:sz w:val="24"/>
          <w:szCs w:val="32"/>
        </w:rPr>
        <w:t>焚烧处理，硫酸喷淋作为备用，经</w:t>
      </w:r>
      <w:r w:rsidRPr="004A20EE">
        <w:rPr>
          <w:rFonts w:hint="eastAsia"/>
          <w:sz w:val="24"/>
          <w:szCs w:val="32"/>
        </w:rPr>
        <w:t>40m</w:t>
      </w:r>
      <w:r w:rsidRPr="004A20EE">
        <w:rPr>
          <w:rFonts w:hint="eastAsia"/>
          <w:sz w:val="24"/>
          <w:szCs w:val="32"/>
        </w:rPr>
        <w:t>高排气筒排放；氰基苯在烘干</w:t>
      </w:r>
      <w:r w:rsidRPr="004A20EE">
        <w:rPr>
          <w:rFonts w:hint="eastAsia"/>
          <w:sz w:val="24"/>
          <w:szCs w:val="32"/>
        </w:rPr>
        <w:lastRenderedPageBreak/>
        <w:t>阶段产生粉尘，采用旋风除尘加布袋除尘装置处理后再经</w:t>
      </w:r>
      <w:r w:rsidRPr="004A20EE">
        <w:rPr>
          <w:rFonts w:hint="eastAsia"/>
          <w:sz w:val="24"/>
          <w:szCs w:val="32"/>
        </w:rPr>
        <w:t>RTO</w:t>
      </w:r>
      <w:r w:rsidRPr="004A20EE">
        <w:rPr>
          <w:rFonts w:hint="eastAsia"/>
          <w:sz w:val="24"/>
          <w:szCs w:val="32"/>
        </w:rPr>
        <w:t>焚烧处理后排放。</w:t>
      </w:r>
    </w:p>
    <w:p w14:paraId="60825E76"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w:t>
      </w:r>
      <w:r w:rsidRPr="004A20EE">
        <w:rPr>
          <w:rFonts w:hint="eastAsia"/>
          <w:sz w:val="24"/>
          <w:szCs w:val="32"/>
        </w:rPr>
        <w:t>3</w:t>
      </w:r>
      <w:r w:rsidRPr="004A20EE">
        <w:rPr>
          <w:rFonts w:hint="eastAsia"/>
          <w:sz w:val="24"/>
          <w:szCs w:val="32"/>
        </w:rPr>
        <w:t>）污水处理站尾气处理措施调整</w:t>
      </w:r>
    </w:p>
    <w:p w14:paraId="046EAC50"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原环评阶段：</w:t>
      </w:r>
      <w:r w:rsidR="006C148A" w:rsidRPr="004A20EE">
        <w:rPr>
          <w:rFonts w:hint="eastAsia"/>
          <w:sz w:val="24"/>
          <w:szCs w:val="32"/>
        </w:rPr>
        <w:t>本项目一期工程</w:t>
      </w:r>
      <w:r w:rsidRPr="004A20EE">
        <w:rPr>
          <w:rFonts w:hint="eastAsia"/>
          <w:sz w:val="24"/>
          <w:szCs w:val="32"/>
        </w:rPr>
        <w:t>对污水处理站的各处理单元加盖密闭，通过管道进行负压收集，并将收集的废气经“一级水吸收</w:t>
      </w:r>
      <w:r w:rsidRPr="004A20EE">
        <w:rPr>
          <w:rFonts w:hint="eastAsia"/>
          <w:sz w:val="24"/>
          <w:szCs w:val="32"/>
        </w:rPr>
        <w:t>+</w:t>
      </w:r>
      <w:r w:rsidRPr="004A20EE">
        <w:rPr>
          <w:rFonts w:hint="eastAsia"/>
          <w:sz w:val="24"/>
          <w:szCs w:val="32"/>
        </w:rPr>
        <w:t>一级碱液吸收”处理后，通过</w:t>
      </w:r>
      <w:r w:rsidRPr="004A20EE">
        <w:rPr>
          <w:rFonts w:hint="eastAsia"/>
          <w:sz w:val="24"/>
          <w:szCs w:val="32"/>
        </w:rPr>
        <w:t>25m</w:t>
      </w:r>
      <w:r w:rsidRPr="004A20EE">
        <w:rPr>
          <w:rFonts w:hint="eastAsia"/>
          <w:sz w:val="24"/>
          <w:szCs w:val="32"/>
        </w:rPr>
        <w:t>高排气筒达标排放。</w:t>
      </w:r>
    </w:p>
    <w:p w14:paraId="24D52B91"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实际建设情况：</w:t>
      </w:r>
      <w:r w:rsidRPr="004A20EE">
        <w:rPr>
          <w:rFonts w:hint="eastAsia"/>
          <w:sz w:val="24"/>
          <w:szCs w:val="32"/>
        </w:rPr>
        <w:t>2018</w:t>
      </w:r>
      <w:r w:rsidRPr="004A20EE">
        <w:rPr>
          <w:rFonts w:hint="eastAsia"/>
          <w:sz w:val="24"/>
          <w:szCs w:val="32"/>
        </w:rPr>
        <w:t>年</w:t>
      </w:r>
      <w:r w:rsidRPr="004A20EE">
        <w:rPr>
          <w:rFonts w:hint="eastAsia"/>
          <w:sz w:val="24"/>
          <w:szCs w:val="32"/>
        </w:rPr>
        <w:t>4</w:t>
      </w:r>
      <w:r w:rsidRPr="004A20EE">
        <w:rPr>
          <w:rFonts w:hint="eastAsia"/>
          <w:sz w:val="24"/>
          <w:szCs w:val="32"/>
        </w:rPr>
        <w:t>月进场监测时，污水处理站废气原采用“一级水吸收”处理，</w:t>
      </w:r>
      <w:r w:rsidRPr="004A20EE">
        <w:rPr>
          <w:rFonts w:hint="eastAsia"/>
          <w:sz w:val="24"/>
          <w:szCs w:val="32"/>
        </w:rPr>
        <w:t>2018</w:t>
      </w:r>
      <w:r w:rsidRPr="004A20EE">
        <w:rPr>
          <w:rFonts w:hint="eastAsia"/>
          <w:sz w:val="24"/>
          <w:szCs w:val="32"/>
        </w:rPr>
        <w:t>年年底有机废气整治工作中将污水处理站废气处理装置整改为“</w:t>
      </w:r>
      <w:r w:rsidRPr="004A20EE">
        <w:rPr>
          <w:rFonts w:hint="eastAsia"/>
          <w:sz w:val="24"/>
          <w:szCs w:val="32"/>
        </w:rPr>
        <w:t>RTO</w:t>
      </w:r>
      <w:r w:rsidRPr="004A20EE">
        <w:rPr>
          <w:rFonts w:hint="eastAsia"/>
          <w:sz w:val="24"/>
          <w:szCs w:val="32"/>
        </w:rPr>
        <w:t>焚烧处理”。</w:t>
      </w:r>
    </w:p>
    <w:p w14:paraId="20F51D7D"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w:t>
      </w:r>
      <w:r w:rsidRPr="004A20EE">
        <w:rPr>
          <w:rFonts w:hint="eastAsia"/>
          <w:sz w:val="24"/>
          <w:szCs w:val="32"/>
        </w:rPr>
        <w:t>4</w:t>
      </w:r>
      <w:r w:rsidRPr="004A20EE">
        <w:rPr>
          <w:rFonts w:hint="eastAsia"/>
          <w:sz w:val="24"/>
          <w:szCs w:val="32"/>
        </w:rPr>
        <w:t>）氯氰基苯车间排气筒高度及位置调整</w:t>
      </w:r>
    </w:p>
    <w:p w14:paraId="767906A5"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原环评阶段：氯氰基苯（四氯邻苯二腈、四氯间苯二腈、五氯苯甲腈）生产过程中产生的废气中含有氯化氢和氯气，送三级降膜水吸收</w:t>
      </w:r>
      <w:r w:rsidRPr="004A20EE">
        <w:rPr>
          <w:rFonts w:hint="eastAsia"/>
          <w:sz w:val="24"/>
          <w:szCs w:val="32"/>
        </w:rPr>
        <w:t>+</w:t>
      </w:r>
      <w:r w:rsidRPr="004A20EE">
        <w:rPr>
          <w:rFonts w:hint="eastAsia"/>
          <w:sz w:val="24"/>
          <w:szCs w:val="32"/>
        </w:rPr>
        <w:t>二级碱液吸收装置进行处理达标后，尾气经</w:t>
      </w:r>
      <w:r w:rsidRPr="004A20EE">
        <w:rPr>
          <w:rFonts w:hint="eastAsia"/>
          <w:sz w:val="24"/>
          <w:szCs w:val="32"/>
        </w:rPr>
        <w:t>25</w:t>
      </w:r>
      <w:r w:rsidRPr="004A20EE">
        <w:rPr>
          <w:rFonts w:hint="eastAsia"/>
          <w:sz w:val="24"/>
          <w:szCs w:val="32"/>
        </w:rPr>
        <w:t>米高排气筒排放。</w:t>
      </w:r>
    </w:p>
    <w:p w14:paraId="1C00D7A9"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实际建设情况：因四氯邻苯二腈和五氯苯甲腈生产设备布置在已建四氯对苯二腈车间内，四氯邻苯二腈和五氯苯甲腈生产线产生的氯化氢和氯气经三级降膜水吸收</w:t>
      </w:r>
      <w:r w:rsidRPr="004A20EE">
        <w:rPr>
          <w:rFonts w:hint="eastAsia"/>
          <w:sz w:val="24"/>
          <w:szCs w:val="32"/>
        </w:rPr>
        <w:t>+</w:t>
      </w:r>
      <w:r w:rsidRPr="004A20EE">
        <w:rPr>
          <w:rFonts w:hint="eastAsia"/>
          <w:sz w:val="24"/>
          <w:szCs w:val="32"/>
        </w:rPr>
        <w:t>三级氢氧化钙碱液吸收</w:t>
      </w:r>
      <w:r w:rsidRPr="004A20EE">
        <w:rPr>
          <w:rFonts w:hint="eastAsia"/>
          <w:sz w:val="24"/>
          <w:szCs w:val="32"/>
        </w:rPr>
        <w:t>+</w:t>
      </w:r>
      <w:r w:rsidRPr="004A20EE">
        <w:rPr>
          <w:rFonts w:hint="eastAsia"/>
          <w:sz w:val="24"/>
          <w:szCs w:val="32"/>
        </w:rPr>
        <w:t>一级氢氧化钠碱液吸收装置处理后，通过氯对苯二腈车间的</w:t>
      </w:r>
      <w:r w:rsidRPr="004A20EE">
        <w:rPr>
          <w:rFonts w:hint="eastAsia"/>
          <w:sz w:val="24"/>
          <w:szCs w:val="32"/>
        </w:rPr>
        <w:t>25</w:t>
      </w:r>
      <w:r w:rsidRPr="004A20EE">
        <w:rPr>
          <w:rFonts w:hint="eastAsia"/>
          <w:sz w:val="24"/>
          <w:szCs w:val="32"/>
        </w:rPr>
        <w:t>米高排气筒排放；四氯间苯二腈生产线产生的氯化氢和氯气经三级降膜水吸收</w:t>
      </w:r>
      <w:r w:rsidRPr="004A20EE">
        <w:rPr>
          <w:rFonts w:hint="eastAsia"/>
          <w:sz w:val="24"/>
          <w:szCs w:val="32"/>
        </w:rPr>
        <w:t>+</w:t>
      </w:r>
      <w:r w:rsidRPr="004A20EE">
        <w:rPr>
          <w:rFonts w:hint="eastAsia"/>
          <w:sz w:val="24"/>
          <w:szCs w:val="32"/>
        </w:rPr>
        <w:t>三级氢氧化钙碱液吸收</w:t>
      </w:r>
      <w:r w:rsidRPr="004A20EE">
        <w:rPr>
          <w:rFonts w:hint="eastAsia"/>
          <w:sz w:val="24"/>
          <w:szCs w:val="32"/>
        </w:rPr>
        <w:t>+</w:t>
      </w:r>
      <w:r w:rsidRPr="004A20EE">
        <w:rPr>
          <w:rFonts w:hint="eastAsia"/>
          <w:sz w:val="24"/>
          <w:szCs w:val="32"/>
        </w:rPr>
        <w:t>一级氢氧化钠碱液吸收装置处理后，通过</w:t>
      </w:r>
      <w:r w:rsidRPr="004A20EE">
        <w:rPr>
          <w:rFonts w:hint="eastAsia"/>
          <w:sz w:val="24"/>
          <w:szCs w:val="32"/>
        </w:rPr>
        <w:t>1</w:t>
      </w:r>
      <w:r w:rsidRPr="004A20EE">
        <w:rPr>
          <w:rFonts w:hint="eastAsia"/>
          <w:sz w:val="24"/>
          <w:szCs w:val="32"/>
        </w:rPr>
        <w:t>根</w:t>
      </w:r>
      <w:r w:rsidRPr="004A20EE">
        <w:rPr>
          <w:rFonts w:hint="eastAsia"/>
          <w:sz w:val="24"/>
          <w:szCs w:val="32"/>
        </w:rPr>
        <w:t>30</w:t>
      </w:r>
      <w:r w:rsidRPr="004A20EE">
        <w:rPr>
          <w:rFonts w:hint="eastAsia"/>
          <w:sz w:val="24"/>
          <w:szCs w:val="32"/>
        </w:rPr>
        <w:t>米排气筒排放。</w:t>
      </w:r>
    </w:p>
    <w:p w14:paraId="675E41A3"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w:t>
      </w:r>
      <w:r w:rsidRPr="004A20EE">
        <w:rPr>
          <w:rFonts w:hint="eastAsia"/>
          <w:sz w:val="24"/>
          <w:szCs w:val="32"/>
        </w:rPr>
        <w:t>5</w:t>
      </w:r>
      <w:r w:rsidRPr="004A20EE">
        <w:rPr>
          <w:rFonts w:hint="eastAsia"/>
          <w:sz w:val="24"/>
          <w:szCs w:val="32"/>
        </w:rPr>
        <w:t>）原料罐区、酸碱罐区储罐数量及容积调整</w:t>
      </w:r>
    </w:p>
    <w:p w14:paraId="260902DA"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原环评阶段：</w:t>
      </w:r>
      <w:r w:rsidRPr="004A20EE">
        <w:rPr>
          <w:rFonts w:hint="eastAsia"/>
          <w:sz w:val="24"/>
          <w:szCs w:val="32"/>
        </w:rPr>
        <w:t>100m</w:t>
      </w:r>
      <w:r w:rsidRPr="004A20EE">
        <w:rPr>
          <w:rFonts w:hint="eastAsia"/>
          <w:sz w:val="24"/>
          <w:szCs w:val="32"/>
          <w:vertAlign w:val="superscript"/>
        </w:rPr>
        <w:t>3</w:t>
      </w:r>
      <w:r w:rsidRPr="004A20EE">
        <w:rPr>
          <w:rFonts w:hint="eastAsia"/>
          <w:sz w:val="24"/>
          <w:szCs w:val="32"/>
        </w:rPr>
        <w:t>液氨储罐</w:t>
      </w:r>
      <w:r w:rsidRPr="004A20EE">
        <w:rPr>
          <w:rFonts w:hint="eastAsia"/>
          <w:sz w:val="24"/>
          <w:szCs w:val="32"/>
        </w:rPr>
        <w:t>1</w:t>
      </w:r>
      <w:r w:rsidRPr="004A20EE">
        <w:rPr>
          <w:rFonts w:hint="eastAsia"/>
          <w:sz w:val="24"/>
          <w:szCs w:val="32"/>
        </w:rPr>
        <w:t>个，</w:t>
      </w:r>
      <w:r w:rsidRPr="004A20EE">
        <w:rPr>
          <w:rFonts w:hint="eastAsia"/>
          <w:sz w:val="24"/>
          <w:szCs w:val="32"/>
        </w:rPr>
        <w:t>50m</w:t>
      </w:r>
      <w:r w:rsidRPr="004A20EE">
        <w:rPr>
          <w:rFonts w:hint="eastAsia"/>
          <w:sz w:val="24"/>
          <w:szCs w:val="32"/>
          <w:vertAlign w:val="superscript"/>
        </w:rPr>
        <w:t>3</w:t>
      </w:r>
      <w:r w:rsidRPr="004A20EE">
        <w:rPr>
          <w:rFonts w:hint="eastAsia"/>
          <w:sz w:val="24"/>
          <w:szCs w:val="32"/>
        </w:rPr>
        <w:t>液氨储罐</w:t>
      </w:r>
      <w:r w:rsidRPr="004A20EE">
        <w:rPr>
          <w:rFonts w:hint="eastAsia"/>
          <w:sz w:val="24"/>
          <w:szCs w:val="32"/>
        </w:rPr>
        <w:t>1</w:t>
      </w:r>
      <w:r w:rsidRPr="004A20EE">
        <w:rPr>
          <w:rFonts w:hint="eastAsia"/>
          <w:sz w:val="24"/>
          <w:szCs w:val="32"/>
        </w:rPr>
        <w:t>个；</w:t>
      </w:r>
      <w:r w:rsidRPr="004A20EE">
        <w:rPr>
          <w:rFonts w:hint="eastAsia"/>
          <w:sz w:val="24"/>
          <w:szCs w:val="32"/>
        </w:rPr>
        <w:t>200m</w:t>
      </w:r>
      <w:r w:rsidRPr="004A20EE">
        <w:rPr>
          <w:rFonts w:hint="eastAsia"/>
          <w:sz w:val="24"/>
          <w:szCs w:val="32"/>
          <w:vertAlign w:val="superscript"/>
        </w:rPr>
        <w:t>3</w:t>
      </w:r>
      <w:r w:rsidRPr="004A20EE">
        <w:rPr>
          <w:rFonts w:hint="eastAsia"/>
          <w:sz w:val="24"/>
          <w:szCs w:val="32"/>
        </w:rPr>
        <w:t>甲苯、邻二甲苯、间二甲苯和对二甲苯储罐各</w:t>
      </w:r>
      <w:r w:rsidRPr="004A20EE">
        <w:rPr>
          <w:rFonts w:hint="eastAsia"/>
          <w:sz w:val="24"/>
          <w:szCs w:val="32"/>
        </w:rPr>
        <w:t>1</w:t>
      </w:r>
      <w:r w:rsidRPr="004A20EE">
        <w:rPr>
          <w:rFonts w:hint="eastAsia"/>
          <w:sz w:val="24"/>
          <w:szCs w:val="32"/>
        </w:rPr>
        <w:t>个，</w:t>
      </w:r>
      <w:r w:rsidRPr="004A20EE">
        <w:rPr>
          <w:rFonts w:hint="eastAsia"/>
          <w:sz w:val="24"/>
          <w:szCs w:val="32"/>
        </w:rPr>
        <w:t>200m</w:t>
      </w:r>
      <w:r w:rsidRPr="004A20EE">
        <w:rPr>
          <w:rFonts w:hint="eastAsia"/>
          <w:sz w:val="24"/>
          <w:szCs w:val="32"/>
          <w:vertAlign w:val="superscript"/>
        </w:rPr>
        <w:t>3</w:t>
      </w:r>
      <w:r w:rsidRPr="004A20EE">
        <w:rPr>
          <w:rFonts w:hint="eastAsia"/>
          <w:sz w:val="24"/>
          <w:szCs w:val="32"/>
        </w:rPr>
        <w:t>备用储罐</w:t>
      </w:r>
      <w:r w:rsidRPr="004A20EE">
        <w:rPr>
          <w:rFonts w:hint="eastAsia"/>
          <w:sz w:val="24"/>
          <w:szCs w:val="32"/>
        </w:rPr>
        <w:t>1</w:t>
      </w:r>
      <w:r w:rsidRPr="004A20EE">
        <w:rPr>
          <w:rFonts w:hint="eastAsia"/>
          <w:sz w:val="24"/>
          <w:szCs w:val="32"/>
        </w:rPr>
        <w:t>个；</w:t>
      </w:r>
      <w:r w:rsidRPr="004A20EE">
        <w:rPr>
          <w:rFonts w:hint="eastAsia"/>
          <w:sz w:val="24"/>
          <w:szCs w:val="32"/>
        </w:rPr>
        <w:t>100m</w:t>
      </w:r>
      <w:r w:rsidRPr="004A20EE">
        <w:rPr>
          <w:rFonts w:hint="eastAsia"/>
          <w:sz w:val="24"/>
          <w:szCs w:val="32"/>
          <w:vertAlign w:val="superscript"/>
        </w:rPr>
        <w:t>3</w:t>
      </w:r>
      <w:r w:rsidRPr="004A20EE">
        <w:rPr>
          <w:rFonts w:hint="eastAsia"/>
          <w:sz w:val="24"/>
          <w:szCs w:val="32"/>
        </w:rPr>
        <w:t>盐酸储罐</w:t>
      </w:r>
      <w:r w:rsidRPr="004A20EE">
        <w:rPr>
          <w:rFonts w:hint="eastAsia"/>
          <w:sz w:val="24"/>
          <w:szCs w:val="32"/>
        </w:rPr>
        <w:t>3</w:t>
      </w:r>
      <w:r w:rsidRPr="004A20EE">
        <w:rPr>
          <w:rFonts w:hint="eastAsia"/>
          <w:sz w:val="24"/>
          <w:szCs w:val="32"/>
        </w:rPr>
        <w:t>个，</w:t>
      </w:r>
      <w:r w:rsidRPr="004A20EE">
        <w:rPr>
          <w:rFonts w:hint="eastAsia"/>
          <w:sz w:val="24"/>
          <w:szCs w:val="32"/>
        </w:rPr>
        <w:t>100m</w:t>
      </w:r>
      <w:r w:rsidRPr="004A20EE">
        <w:rPr>
          <w:rFonts w:hint="eastAsia"/>
          <w:sz w:val="24"/>
          <w:szCs w:val="32"/>
          <w:vertAlign w:val="superscript"/>
        </w:rPr>
        <w:t>3</w:t>
      </w:r>
      <w:r w:rsidRPr="004A20EE">
        <w:rPr>
          <w:rFonts w:hint="eastAsia"/>
          <w:sz w:val="24"/>
          <w:szCs w:val="32"/>
        </w:rPr>
        <w:t>液碱储罐</w:t>
      </w:r>
      <w:r w:rsidRPr="004A20EE">
        <w:rPr>
          <w:rFonts w:hint="eastAsia"/>
          <w:sz w:val="24"/>
          <w:szCs w:val="32"/>
        </w:rPr>
        <w:t>2</w:t>
      </w:r>
      <w:r w:rsidRPr="004A20EE">
        <w:rPr>
          <w:rFonts w:hint="eastAsia"/>
          <w:sz w:val="24"/>
          <w:szCs w:val="32"/>
        </w:rPr>
        <w:t>个，</w:t>
      </w:r>
      <w:r w:rsidRPr="004A20EE">
        <w:rPr>
          <w:rFonts w:hint="eastAsia"/>
          <w:sz w:val="24"/>
          <w:szCs w:val="32"/>
        </w:rPr>
        <w:t>100m</w:t>
      </w:r>
      <w:r w:rsidRPr="004A20EE">
        <w:rPr>
          <w:rFonts w:hint="eastAsia"/>
          <w:sz w:val="24"/>
          <w:szCs w:val="32"/>
          <w:vertAlign w:val="superscript"/>
        </w:rPr>
        <w:t>3</w:t>
      </w:r>
      <w:r w:rsidRPr="004A20EE">
        <w:rPr>
          <w:rFonts w:hint="eastAsia"/>
          <w:sz w:val="24"/>
          <w:szCs w:val="32"/>
        </w:rPr>
        <w:t>浓硫酸储罐</w:t>
      </w:r>
      <w:r w:rsidRPr="004A20EE">
        <w:rPr>
          <w:rFonts w:hint="eastAsia"/>
          <w:sz w:val="24"/>
          <w:szCs w:val="32"/>
        </w:rPr>
        <w:t>1</w:t>
      </w:r>
      <w:r w:rsidRPr="004A20EE">
        <w:rPr>
          <w:rFonts w:hint="eastAsia"/>
          <w:sz w:val="24"/>
          <w:szCs w:val="32"/>
        </w:rPr>
        <w:t>个。</w:t>
      </w:r>
    </w:p>
    <w:p w14:paraId="42BF299B"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实际建设情况：</w:t>
      </w:r>
      <w:r w:rsidRPr="004A20EE">
        <w:rPr>
          <w:rFonts w:hint="eastAsia"/>
          <w:sz w:val="24"/>
          <w:szCs w:val="32"/>
        </w:rPr>
        <w:t>50m</w:t>
      </w:r>
      <w:r w:rsidRPr="004A20EE">
        <w:rPr>
          <w:rFonts w:hint="eastAsia"/>
          <w:sz w:val="24"/>
          <w:szCs w:val="32"/>
          <w:vertAlign w:val="superscript"/>
        </w:rPr>
        <w:t>3</w:t>
      </w:r>
      <w:r w:rsidRPr="004A20EE">
        <w:rPr>
          <w:rFonts w:hint="eastAsia"/>
          <w:sz w:val="24"/>
          <w:szCs w:val="32"/>
        </w:rPr>
        <w:t>液氨储罐</w:t>
      </w:r>
      <w:r w:rsidRPr="004A20EE">
        <w:rPr>
          <w:rFonts w:hint="eastAsia"/>
          <w:sz w:val="24"/>
          <w:szCs w:val="32"/>
        </w:rPr>
        <w:t>2</w:t>
      </w:r>
      <w:r w:rsidRPr="004A20EE">
        <w:rPr>
          <w:rFonts w:hint="eastAsia"/>
          <w:sz w:val="24"/>
          <w:szCs w:val="32"/>
        </w:rPr>
        <w:t>个；</w:t>
      </w:r>
      <w:r w:rsidRPr="004A20EE">
        <w:rPr>
          <w:rFonts w:hint="eastAsia"/>
          <w:sz w:val="24"/>
          <w:szCs w:val="32"/>
        </w:rPr>
        <w:t>200m</w:t>
      </w:r>
      <w:r w:rsidRPr="004A20EE">
        <w:rPr>
          <w:rFonts w:hint="eastAsia"/>
          <w:sz w:val="24"/>
          <w:szCs w:val="32"/>
          <w:vertAlign w:val="superscript"/>
        </w:rPr>
        <w:t>3</w:t>
      </w:r>
      <w:r w:rsidRPr="004A20EE">
        <w:rPr>
          <w:rFonts w:hint="eastAsia"/>
          <w:sz w:val="24"/>
          <w:szCs w:val="32"/>
        </w:rPr>
        <w:t>甲苯、邻二甲苯、间二甲苯和对二甲苯储罐各</w:t>
      </w:r>
      <w:r w:rsidRPr="004A20EE">
        <w:rPr>
          <w:rFonts w:hint="eastAsia"/>
          <w:sz w:val="24"/>
          <w:szCs w:val="32"/>
        </w:rPr>
        <w:t>1</w:t>
      </w:r>
      <w:r w:rsidRPr="004A20EE">
        <w:rPr>
          <w:rFonts w:hint="eastAsia"/>
          <w:sz w:val="24"/>
          <w:szCs w:val="32"/>
        </w:rPr>
        <w:t>个，备用罐未建设；</w:t>
      </w:r>
      <w:r w:rsidRPr="004A20EE">
        <w:rPr>
          <w:rFonts w:hint="eastAsia"/>
          <w:sz w:val="24"/>
          <w:szCs w:val="32"/>
        </w:rPr>
        <w:t>100m</w:t>
      </w:r>
      <w:r w:rsidRPr="004A20EE">
        <w:rPr>
          <w:rFonts w:hint="eastAsia"/>
          <w:sz w:val="24"/>
          <w:szCs w:val="32"/>
          <w:vertAlign w:val="superscript"/>
        </w:rPr>
        <w:t>3</w:t>
      </w:r>
      <w:r w:rsidRPr="004A20EE">
        <w:rPr>
          <w:rFonts w:hint="eastAsia"/>
          <w:sz w:val="24"/>
          <w:szCs w:val="32"/>
        </w:rPr>
        <w:t>盐酸储罐</w:t>
      </w:r>
      <w:r w:rsidRPr="004A20EE">
        <w:rPr>
          <w:rFonts w:hint="eastAsia"/>
          <w:sz w:val="24"/>
          <w:szCs w:val="32"/>
        </w:rPr>
        <w:t>1</w:t>
      </w:r>
      <w:r w:rsidRPr="004A20EE">
        <w:rPr>
          <w:rFonts w:hint="eastAsia"/>
          <w:sz w:val="24"/>
          <w:szCs w:val="32"/>
        </w:rPr>
        <w:t>个，</w:t>
      </w:r>
      <w:r w:rsidRPr="004A20EE">
        <w:rPr>
          <w:rFonts w:hint="eastAsia"/>
          <w:sz w:val="24"/>
          <w:szCs w:val="32"/>
        </w:rPr>
        <w:t>100m</w:t>
      </w:r>
      <w:r w:rsidRPr="004A20EE">
        <w:rPr>
          <w:rFonts w:hint="eastAsia"/>
          <w:sz w:val="24"/>
          <w:szCs w:val="32"/>
          <w:vertAlign w:val="superscript"/>
        </w:rPr>
        <w:t>3</w:t>
      </w:r>
      <w:r w:rsidRPr="004A20EE">
        <w:rPr>
          <w:rFonts w:hint="eastAsia"/>
          <w:sz w:val="24"/>
          <w:szCs w:val="32"/>
        </w:rPr>
        <w:t>液碱储罐</w:t>
      </w:r>
      <w:r w:rsidR="003E447A" w:rsidRPr="004A20EE">
        <w:rPr>
          <w:sz w:val="24"/>
          <w:szCs w:val="32"/>
        </w:rPr>
        <w:t>1</w:t>
      </w:r>
      <w:r w:rsidRPr="004A20EE">
        <w:rPr>
          <w:rFonts w:hint="eastAsia"/>
          <w:sz w:val="24"/>
          <w:szCs w:val="32"/>
        </w:rPr>
        <w:t>个，</w:t>
      </w:r>
      <w:r w:rsidRPr="004A20EE">
        <w:rPr>
          <w:rFonts w:hint="eastAsia"/>
          <w:sz w:val="24"/>
          <w:szCs w:val="32"/>
        </w:rPr>
        <w:t>100m</w:t>
      </w:r>
      <w:r w:rsidRPr="004A20EE">
        <w:rPr>
          <w:rFonts w:hint="eastAsia"/>
          <w:sz w:val="24"/>
          <w:szCs w:val="32"/>
          <w:vertAlign w:val="superscript"/>
        </w:rPr>
        <w:t>3</w:t>
      </w:r>
      <w:r w:rsidRPr="004A20EE">
        <w:rPr>
          <w:rFonts w:hint="eastAsia"/>
          <w:sz w:val="24"/>
          <w:szCs w:val="32"/>
        </w:rPr>
        <w:t>浓硫酸储罐</w:t>
      </w:r>
      <w:r w:rsidRPr="004A20EE">
        <w:rPr>
          <w:rFonts w:hint="eastAsia"/>
          <w:sz w:val="24"/>
          <w:szCs w:val="32"/>
        </w:rPr>
        <w:t>1</w:t>
      </w:r>
      <w:r w:rsidRPr="004A20EE">
        <w:rPr>
          <w:rFonts w:hint="eastAsia"/>
          <w:sz w:val="24"/>
          <w:szCs w:val="32"/>
        </w:rPr>
        <w:t>个。液氨储罐容积减少</w:t>
      </w:r>
      <w:r w:rsidRPr="004A20EE">
        <w:rPr>
          <w:rFonts w:hint="eastAsia"/>
          <w:sz w:val="24"/>
          <w:szCs w:val="32"/>
        </w:rPr>
        <w:t>33%</w:t>
      </w:r>
      <w:r w:rsidRPr="004A20EE">
        <w:rPr>
          <w:rFonts w:hint="eastAsia"/>
          <w:sz w:val="24"/>
          <w:szCs w:val="32"/>
        </w:rPr>
        <w:t>，盐酸储罐容积减少</w:t>
      </w:r>
      <w:r w:rsidRPr="004A20EE">
        <w:rPr>
          <w:rFonts w:hint="eastAsia"/>
          <w:sz w:val="24"/>
          <w:szCs w:val="32"/>
        </w:rPr>
        <w:t>66%</w:t>
      </w:r>
      <w:r w:rsidRPr="004A20EE">
        <w:rPr>
          <w:rFonts w:hint="eastAsia"/>
          <w:sz w:val="24"/>
          <w:szCs w:val="32"/>
        </w:rPr>
        <w:t>，液碱储罐容积减少</w:t>
      </w:r>
      <w:r w:rsidRPr="004A20EE">
        <w:rPr>
          <w:rFonts w:hint="eastAsia"/>
          <w:sz w:val="24"/>
          <w:szCs w:val="32"/>
        </w:rPr>
        <w:t>50%</w:t>
      </w:r>
      <w:r w:rsidRPr="004A20EE">
        <w:rPr>
          <w:rFonts w:hint="eastAsia"/>
          <w:sz w:val="24"/>
          <w:szCs w:val="32"/>
        </w:rPr>
        <w:t>。</w:t>
      </w:r>
    </w:p>
    <w:p w14:paraId="71936335"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w:t>
      </w:r>
      <w:r w:rsidRPr="004A20EE">
        <w:rPr>
          <w:rFonts w:hint="eastAsia"/>
          <w:sz w:val="24"/>
          <w:szCs w:val="32"/>
        </w:rPr>
        <w:t>6</w:t>
      </w:r>
      <w:r w:rsidRPr="004A20EE">
        <w:rPr>
          <w:rFonts w:hint="eastAsia"/>
          <w:sz w:val="24"/>
          <w:szCs w:val="32"/>
        </w:rPr>
        <w:t>）公用及辅助工程调整</w:t>
      </w:r>
    </w:p>
    <w:p w14:paraId="3E51E4C9"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①供热：</w:t>
      </w:r>
    </w:p>
    <w:p w14:paraId="66C2C8A9"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lastRenderedPageBreak/>
        <w:t>原环评阶段：</w:t>
      </w:r>
      <w:r w:rsidRPr="004A20EE">
        <w:rPr>
          <w:rFonts w:hint="eastAsia"/>
          <w:sz w:val="24"/>
          <w:szCs w:val="32"/>
        </w:rPr>
        <w:t>125</w:t>
      </w:r>
      <w:r w:rsidRPr="004A20EE">
        <w:rPr>
          <w:rFonts w:hint="eastAsia"/>
          <w:sz w:val="24"/>
          <w:szCs w:val="32"/>
        </w:rPr>
        <w:t>万</w:t>
      </w:r>
      <w:r w:rsidRPr="004A20EE">
        <w:rPr>
          <w:rFonts w:hint="eastAsia"/>
          <w:sz w:val="24"/>
          <w:szCs w:val="32"/>
        </w:rPr>
        <w:t>kcal/h</w:t>
      </w:r>
      <w:r w:rsidRPr="004A20EE">
        <w:rPr>
          <w:rFonts w:hint="eastAsia"/>
          <w:sz w:val="24"/>
          <w:szCs w:val="32"/>
        </w:rPr>
        <w:t>导热油炉</w:t>
      </w:r>
      <w:r w:rsidRPr="004A20EE">
        <w:rPr>
          <w:rFonts w:hint="eastAsia"/>
          <w:sz w:val="24"/>
          <w:szCs w:val="32"/>
        </w:rPr>
        <w:t>2</w:t>
      </w:r>
      <w:r w:rsidRPr="004A20EE">
        <w:rPr>
          <w:rFonts w:hint="eastAsia"/>
          <w:sz w:val="24"/>
          <w:szCs w:val="32"/>
        </w:rPr>
        <w:t>台，</w:t>
      </w:r>
      <w:r w:rsidRPr="004A20EE">
        <w:rPr>
          <w:rFonts w:hint="eastAsia"/>
          <w:sz w:val="24"/>
          <w:szCs w:val="32"/>
        </w:rPr>
        <w:t>300</w:t>
      </w:r>
      <w:r w:rsidRPr="004A20EE">
        <w:rPr>
          <w:rFonts w:hint="eastAsia"/>
          <w:sz w:val="24"/>
          <w:szCs w:val="32"/>
        </w:rPr>
        <w:t>万</w:t>
      </w:r>
      <w:r w:rsidRPr="004A20EE">
        <w:rPr>
          <w:rFonts w:hint="eastAsia"/>
          <w:sz w:val="24"/>
          <w:szCs w:val="32"/>
        </w:rPr>
        <w:t>kcal/h</w:t>
      </w:r>
      <w:r w:rsidRPr="004A20EE">
        <w:rPr>
          <w:rFonts w:hint="eastAsia"/>
          <w:sz w:val="24"/>
          <w:szCs w:val="32"/>
        </w:rPr>
        <w:t>导热油炉</w:t>
      </w:r>
      <w:r w:rsidRPr="004A20EE">
        <w:rPr>
          <w:rFonts w:hint="eastAsia"/>
          <w:sz w:val="24"/>
          <w:szCs w:val="32"/>
        </w:rPr>
        <w:t>1</w:t>
      </w:r>
      <w:r w:rsidRPr="004A20EE">
        <w:rPr>
          <w:rFonts w:hint="eastAsia"/>
          <w:sz w:val="24"/>
          <w:szCs w:val="32"/>
        </w:rPr>
        <w:t>台，总供热能力为</w:t>
      </w:r>
      <w:r w:rsidRPr="004A20EE">
        <w:rPr>
          <w:rFonts w:hint="eastAsia"/>
          <w:sz w:val="24"/>
          <w:szCs w:val="32"/>
        </w:rPr>
        <w:t>550</w:t>
      </w:r>
      <w:r w:rsidRPr="004A20EE">
        <w:rPr>
          <w:rFonts w:hint="eastAsia"/>
          <w:sz w:val="24"/>
          <w:szCs w:val="32"/>
        </w:rPr>
        <w:t>万</w:t>
      </w:r>
      <w:r w:rsidRPr="004A20EE">
        <w:rPr>
          <w:rFonts w:hint="eastAsia"/>
          <w:sz w:val="24"/>
          <w:szCs w:val="32"/>
        </w:rPr>
        <w:t>kcal/h</w:t>
      </w:r>
      <w:r w:rsidRPr="004A20EE">
        <w:rPr>
          <w:rFonts w:hint="eastAsia"/>
          <w:sz w:val="24"/>
          <w:szCs w:val="32"/>
        </w:rPr>
        <w:t>。</w:t>
      </w:r>
    </w:p>
    <w:p w14:paraId="5998ECD6"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实际建设情况：氰基苯车间使用</w:t>
      </w:r>
      <w:r w:rsidRPr="004A20EE">
        <w:rPr>
          <w:rFonts w:hint="eastAsia"/>
          <w:sz w:val="24"/>
          <w:szCs w:val="32"/>
        </w:rPr>
        <w:t>150</w:t>
      </w:r>
      <w:r w:rsidRPr="004A20EE">
        <w:rPr>
          <w:rFonts w:hint="eastAsia"/>
          <w:sz w:val="24"/>
          <w:szCs w:val="32"/>
        </w:rPr>
        <w:t>万</w:t>
      </w:r>
      <w:r w:rsidRPr="004A20EE">
        <w:rPr>
          <w:rFonts w:hint="eastAsia"/>
          <w:sz w:val="24"/>
          <w:szCs w:val="32"/>
        </w:rPr>
        <w:t>kcal/h</w:t>
      </w:r>
      <w:r w:rsidRPr="004A20EE">
        <w:rPr>
          <w:rFonts w:hint="eastAsia"/>
          <w:sz w:val="24"/>
          <w:szCs w:val="32"/>
        </w:rPr>
        <w:t>导热油炉（</w:t>
      </w:r>
      <w:r w:rsidRPr="004A20EE">
        <w:rPr>
          <w:rFonts w:hint="eastAsia"/>
          <w:sz w:val="24"/>
          <w:szCs w:val="32"/>
        </w:rPr>
        <w:t>3#</w:t>
      </w:r>
      <w:r w:rsidRPr="004A20EE">
        <w:rPr>
          <w:rFonts w:hint="eastAsia"/>
          <w:sz w:val="24"/>
          <w:szCs w:val="32"/>
        </w:rPr>
        <w:t>）；氯氰基苯车间使用</w:t>
      </w:r>
      <w:r w:rsidRPr="004A20EE">
        <w:rPr>
          <w:rFonts w:hint="eastAsia"/>
          <w:sz w:val="24"/>
          <w:szCs w:val="32"/>
        </w:rPr>
        <w:t>150</w:t>
      </w:r>
      <w:r w:rsidRPr="004A20EE">
        <w:rPr>
          <w:rFonts w:hint="eastAsia"/>
          <w:sz w:val="24"/>
          <w:szCs w:val="32"/>
        </w:rPr>
        <w:t>万</w:t>
      </w:r>
      <w:r w:rsidRPr="004A20EE">
        <w:rPr>
          <w:rFonts w:hint="eastAsia"/>
          <w:sz w:val="24"/>
          <w:szCs w:val="32"/>
        </w:rPr>
        <w:t>kcal/h</w:t>
      </w:r>
      <w:r w:rsidRPr="004A20EE">
        <w:rPr>
          <w:rFonts w:hint="eastAsia"/>
          <w:sz w:val="24"/>
          <w:szCs w:val="32"/>
        </w:rPr>
        <w:t>导热油炉（</w:t>
      </w:r>
      <w:r w:rsidRPr="004A20EE">
        <w:rPr>
          <w:rFonts w:hint="eastAsia"/>
          <w:sz w:val="24"/>
          <w:szCs w:val="32"/>
        </w:rPr>
        <w:t>1#</w:t>
      </w:r>
      <w:r w:rsidRPr="004A20EE">
        <w:rPr>
          <w:rFonts w:hint="eastAsia"/>
          <w:sz w:val="24"/>
          <w:szCs w:val="32"/>
        </w:rPr>
        <w:t>）、</w:t>
      </w:r>
      <w:r w:rsidRPr="004A20EE">
        <w:rPr>
          <w:rFonts w:hint="eastAsia"/>
          <w:sz w:val="24"/>
          <w:szCs w:val="32"/>
        </w:rPr>
        <w:t>180</w:t>
      </w:r>
      <w:r w:rsidRPr="004A20EE">
        <w:rPr>
          <w:rFonts w:hint="eastAsia"/>
          <w:sz w:val="24"/>
          <w:szCs w:val="32"/>
        </w:rPr>
        <w:t>万</w:t>
      </w:r>
      <w:r w:rsidRPr="004A20EE">
        <w:rPr>
          <w:rFonts w:hint="eastAsia"/>
          <w:sz w:val="24"/>
          <w:szCs w:val="32"/>
        </w:rPr>
        <w:t>kcal/h</w:t>
      </w:r>
      <w:r w:rsidRPr="004A20EE">
        <w:rPr>
          <w:rFonts w:hint="eastAsia"/>
          <w:sz w:val="24"/>
          <w:szCs w:val="32"/>
        </w:rPr>
        <w:t>导热油炉（</w:t>
      </w:r>
      <w:r w:rsidRPr="004A20EE">
        <w:rPr>
          <w:rFonts w:hint="eastAsia"/>
          <w:sz w:val="24"/>
          <w:szCs w:val="32"/>
        </w:rPr>
        <w:t>6#</w:t>
      </w:r>
      <w:r w:rsidRPr="004A20EE">
        <w:rPr>
          <w:rFonts w:hint="eastAsia"/>
          <w:sz w:val="24"/>
          <w:szCs w:val="32"/>
        </w:rPr>
        <w:t>）；总供热能力为</w:t>
      </w:r>
      <w:r w:rsidRPr="004A20EE">
        <w:rPr>
          <w:rFonts w:hint="eastAsia"/>
          <w:sz w:val="24"/>
          <w:szCs w:val="32"/>
        </w:rPr>
        <w:t>480</w:t>
      </w:r>
      <w:r w:rsidRPr="004A20EE">
        <w:rPr>
          <w:rFonts w:hint="eastAsia"/>
          <w:sz w:val="24"/>
          <w:szCs w:val="32"/>
        </w:rPr>
        <w:t>万</w:t>
      </w:r>
      <w:r w:rsidRPr="004A20EE">
        <w:rPr>
          <w:rFonts w:hint="eastAsia"/>
          <w:sz w:val="24"/>
          <w:szCs w:val="32"/>
        </w:rPr>
        <w:t>kcal/h</w:t>
      </w:r>
      <w:r w:rsidRPr="004A20EE">
        <w:rPr>
          <w:rFonts w:hint="eastAsia"/>
          <w:sz w:val="24"/>
          <w:szCs w:val="32"/>
        </w:rPr>
        <w:t>，满足环评及批复中的要求。</w:t>
      </w:r>
    </w:p>
    <w:p w14:paraId="5AC2A7BB"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②冷却水</w:t>
      </w:r>
    </w:p>
    <w:p w14:paraId="78A9908A"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原环评阶段：</w:t>
      </w:r>
      <w:r w:rsidRPr="004A20EE">
        <w:rPr>
          <w:rFonts w:hint="eastAsia"/>
          <w:sz w:val="24"/>
          <w:szCs w:val="32"/>
        </w:rPr>
        <w:t>600m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冷却塔</w:t>
      </w:r>
      <w:r w:rsidRPr="004A20EE">
        <w:rPr>
          <w:rFonts w:hint="eastAsia"/>
          <w:sz w:val="24"/>
          <w:szCs w:val="32"/>
        </w:rPr>
        <w:t>1</w:t>
      </w:r>
      <w:r w:rsidRPr="004A20EE">
        <w:rPr>
          <w:rFonts w:hint="eastAsia"/>
          <w:sz w:val="24"/>
          <w:szCs w:val="32"/>
        </w:rPr>
        <w:t>台，</w:t>
      </w:r>
      <w:r w:rsidRPr="004A20EE">
        <w:rPr>
          <w:rFonts w:hint="eastAsia"/>
          <w:sz w:val="24"/>
          <w:szCs w:val="32"/>
        </w:rPr>
        <w:t>1 000m</w:t>
      </w:r>
      <w:r w:rsidRPr="004A20EE">
        <w:rPr>
          <w:rFonts w:hint="eastAsia"/>
          <w:sz w:val="24"/>
          <w:szCs w:val="32"/>
          <w:vertAlign w:val="superscript"/>
        </w:rPr>
        <w:t>3</w:t>
      </w:r>
      <w:r w:rsidRPr="004A20EE">
        <w:rPr>
          <w:rFonts w:hint="eastAsia"/>
          <w:sz w:val="24"/>
          <w:szCs w:val="32"/>
        </w:rPr>
        <w:t>循环水池</w:t>
      </w:r>
      <w:r w:rsidRPr="004A20EE">
        <w:rPr>
          <w:rFonts w:hint="eastAsia"/>
          <w:sz w:val="24"/>
          <w:szCs w:val="32"/>
        </w:rPr>
        <w:t>1</w:t>
      </w:r>
      <w:r w:rsidRPr="004A20EE">
        <w:rPr>
          <w:rFonts w:hint="eastAsia"/>
          <w:sz w:val="24"/>
          <w:szCs w:val="32"/>
        </w:rPr>
        <w:t>座；</w:t>
      </w:r>
      <w:r w:rsidRPr="004A20EE">
        <w:rPr>
          <w:rFonts w:hint="eastAsia"/>
          <w:sz w:val="24"/>
          <w:szCs w:val="32"/>
        </w:rPr>
        <w:t>400m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冷却塔</w:t>
      </w:r>
      <w:r w:rsidRPr="004A20EE">
        <w:rPr>
          <w:rFonts w:hint="eastAsia"/>
          <w:sz w:val="24"/>
          <w:szCs w:val="32"/>
        </w:rPr>
        <w:t>1</w:t>
      </w:r>
      <w:r w:rsidRPr="004A20EE">
        <w:rPr>
          <w:rFonts w:hint="eastAsia"/>
          <w:sz w:val="24"/>
          <w:szCs w:val="32"/>
        </w:rPr>
        <w:t>台，</w:t>
      </w:r>
      <w:r w:rsidRPr="004A20EE">
        <w:rPr>
          <w:rFonts w:hint="eastAsia"/>
          <w:sz w:val="24"/>
          <w:szCs w:val="32"/>
        </w:rPr>
        <w:t>300m</w:t>
      </w:r>
      <w:r w:rsidRPr="004A20EE">
        <w:rPr>
          <w:rFonts w:hint="eastAsia"/>
          <w:sz w:val="24"/>
          <w:szCs w:val="32"/>
          <w:vertAlign w:val="superscript"/>
        </w:rPr>
        <w:t>3</w:t>
      </w:r>
      <w:r w:rsidRPr="004A20EE">
        <w:rPr>
          <w:rFonts w:hint="eastAsia"/>
          <w:sz w:val="24"/>
          <w:szCs w:val="32"/>
        </w:rPr>
        <w:t>循环水池</w:t>
      </w:r>
      <w:r w:rsidRPr="004A20EE">
        <w:rPr>
          <w:rFonts w:hint="eastAsia"/>
          <w:sz w:val="24"/>
          <w:szCs w:val="32"/>
        </w:rPr>
        <w:t>1</w:t>
      </w:r>
      <w:r w:rsidRPr="004A20EE">
        <w:rPr>
          <w:rFonts w:hint="eastAsia"/>
          <w:sz w:val="24"/>
          <w:szCs w:val="32"/>
        </w:rPr>
        <w:t>座，</w:t>
      </w:r>
      <w:r w:rsidRPr="004A20EE">
        <w:rPr>
          <w:rFonts w:hint="eastAsia"/>
          <w:sz w:val="24"/>
          <w:szCs w:val="32"/>
        </w:rPr>
        <w:t>400m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冷却塔</w:t>
      </w:r>
      <w:r w:rsidRPr="004A20EE">
        <w:rPr>
          <w:rFonts w:hint="eastAsia"/>
          <w:sz w:val="24"/>
          <w:szCs w:val="32"/>
        </w:rPr>
        <w:t>1</w:t>
      </w:r>
      <w:r w:rsidRPr="004A20EE">
        <w:rPr>
          <w:rFonts w:hint="eastAsia"/>
          <w:sz w:val="24"/>
          <w:szCs w:val="32"/>
        </w:rPr>
        <w:t>台，</w:t>
      </w:r>
      <w:r w:rsidRPr="004A20EE">
        <w:rPr>
          <w:rFonts w:hint="eastAsia"/>
          <w:sz w:val="24"/>
          <w:szCs w:val="32"/>
        </w:rPr>
        <w:t>300m</w:t>
      </w:r>
      <w:r w:rsidRPr="004A20EE">
        <w:rPr>
          <w:rFonts w:hint="eastAsia"/>
          <w:sz w:val="24"/>
          <w:szCs w:val="32"/>
          <w:vertAlign w:val="superscript"/>
        </w:rPr>
        <w:t>3</w:t>
      </w:r>
      <w:r w:rsidRPr="004A20EE">
        <w:rPr>
          <w:rFonts w:hint="eastAsia"/>
          <w:sz w:val="24"/>
          <w:szCs w:val="32"/>
        </w:rPr>
        <w:t>循环水池</w:t>
      </w:r>
      <w:r w:rsidRPr="004A20EE">
        <w:rPr>
          <w:rFonts w:hint="eastAsia"/>
          <w:sz w:val="24"/>
          <w:szCs w:val="32"/>
        </w:rPr>
        <w:t>1</w:t>
      </w:r>
      <w:r w:rsidRPr="004A20EE">
        <w:rPr>
          <w:rFonts w:hint="eastAsia"/>
          <w:sz w:val="24"/>
          <w:szCs w:val="32"/>
        </w:rPr>
        <w:t>座，冷却水总设计能力为</w:t>
      </w:r>
      <w:r w:rsidRPr="004A20EE">
        <w:rPr>
          <w:rFonts w:hint="eastAsia"/>
          <w:sz w:val="24"/>
          <w:szCs w:val="32"/>
        </w:rPr>
        <w:t>3000m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w:t>
      </w:r>
    </w:p>
    <w:p w14:paraId="1C1AF5A5"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实际建设情况：</w:t>
      </w:r>
      <w:r w:rsidRPr="004A20EE">
        <w:rPr>
          <w:rFonts w:hint="eastAsia"/>
          <w:sz w:val="24"/>
          <w:szCs w:val="32"/>
        </w:rPr>
        <w:t>600m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冷却塔</w:t>
      </w:r>
      <w:r w:rsidRPr="004A20EE">
        <w:rPr>
          <w:rFonts w:hint="eastAsia"/>
          <w:sz w:val="24"/>
          <w:szCs w:val="32"/>
        </w:rPr>
        <w:t>1</w:t>
      </w:r>
      <w:r w:rsidRPr="004A20EE">
        <w:rPr>
          <w:rFonts w:hint="eastAsia"/>
          <w:sz w:val="24"/>
          <w:szCs w:val="32"/>
        </w:rPr>
        <w:t>台，</w:t>
      </w:r>
      <w:r w:rsidRPr="004A20EE">
        <w:rPr>
          <w:rFonts w:hint="eastAsia"/>
          <w:sz w:val="24"/>
          <w:szCs w:val="32"/>
        </w:rPr>
        <w:t>400m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冷却塔</w:t>
      </w:r>
      <w:r w:rsidRPr="004A20EE">
        <w:rPr>
          <w:rFonts w:hint="eastAsia"/>
          <w:sz w:val="24"/>
          <w:szCs w:val="32"/>
        </w:rPr>
        <w:t>1</w:t>
      </w:r>
      <w:r w:rsidRPr="004A20EE">
        <w:rPr>
          <w:rFonts w:hint="eastAsia"/>
          <w:sz w:val="24"/>
          <w:szCs w:val="32"/>
        </w:rPr>
        <w:t>台，</w:t>
      </w:r>
      <w:r w:rsidRPr="004A20EE">
        <w:rPr>
          <w:rFonts w:hint="eastAsia"/>
          <w:sz w:val="24"/>
          <w:szCs w:val="32"/>
        </w:rPr>
        <w:t>300m</w:t>
      </w:r>
      <w:r w:rsidRPr="004A20EE">
        <w:rPr>
          <w:rFonts w:hint="eastAsia"/>
          <w:sz w:val="24"/>
          <w:szCs w:val="32"/>
          <w:vertAlign w:val="superscript"/>
        </w:rPr>
        <w:t>3</w:t>
      </w:r>
      <w:r w:rsidRPr="004A20EE">
        <w:rPr>
          <w:rFonts w:hint="eastAsia"/>
          <w:sz w:val="24"/>
          <w:szCs w:val="32"/>
        </w:rPr>
        <w:t>循环水池</w:t>
      </w:r>
      <w:r w:rsidRPr="004A20EE">
        <w:rPr>
          <w:rFonts w:hint="eastAsia"/>
          <w:sz w:val="24"/>
          <w:szCs w:val="32"/>
        </w:rPr>
        <w:t>1</w:t>
      </w:r>
      <w:r w:rsidRPr="004A20EE">
        <w:rPr>
          <w:rFonts w:hint="eastAsia"/>
          <w:sz w:val="24"/>
          <w:szCs w:val="32"/>
        </w:rPr>
        <w:t>座；</w:t>
      </w:r>
      <w:r w:rsidRPr="004A20EE">
        <w:rPr>
          <w:rFonts w:hint="eastAsia"/>
          <w:sz w:val="24"/>
          <w:szCs w:val="32"/>
        </w:rPr>
        <w:t>400m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冷却塔</w:t>
      </w:r>
      <w:r w:rsidRPr="004A20EE">
        <w:rPr>
          <w:rFonts w:hint="eastAsia"/>
          <w:sz w:val="24"/>
          <w:szCs w:val="32"/>
        </w:rPr>
        <w:t>1</w:t>
      </w:r>
      <w:r w:rsidRPr="004A20EE">
        <w:rPr>
          <w:rFonts w:hint="eastAsia"/>
          <w:sz w:val="24"/>
          <w:szCs w:val="32"/>
        </w:rPr>
        <w:t>台，</w:t>
      </w:r>
      <w:r w:rsidRPr="004A20EE">
        <w:rPr>
          <w:rFonts w:hint="eastAsia"/>
          <w:sz w:val="24"/>
          <w:szCs w:val="32"/>
        </w:rPr>
        <w:t>300m</w:t>
      </w:r>
      <w:r w:rsidRPr="004A20EE">
        <w:rPr>
          <w:rFonts w:hint="eastAsia"/>
          <w:sz w:val="24"/>
          <w:szCs w:val="32"/>
          <w:vertAlign w:val="superscript"/>
        </w:rPr>
        <w:t>3</w:t>
      </w:r>
      <w:r w:rsidRPr="004A20EE">
        <w:rPr>
          <w:rFonts w:hint="eastAsia"/>
          <w:sz w:val="24"/>
          <w:szCs w:val="32"/>
        </w:rPr>
        <w:t>循环水池</w:t>
      </w:r>
      <w:r w:rsidRPr="004A20EE">
        <w:rPr>
          <w:rFonts w:hint="eastAsia"/>
          <w:sz w:val="24"/>
          <w:szCs w:val="32"/>
        </w:rPr>
        <w:t>1</w:t>
      </w:r>
      <w:r w:rsidRPr="004A20EE">
        <w:rPr>
          <w:rFonts w:hint="eastAsia"/>
          <w:sz w:val="24"/>
          <w:szCs w:val="32"/>
        </w:rPr>
        <w:t>座，总设计能力为</w:t>
      </w:r>
      <w:r w:rsidRPr="004A20EE">
        <w:rPr>
          <w:rFonts w:hint="eastAsia"/>
          <w:sz w:val="24"/>
          <w:szCs w:val="32"/>
        </w:rPr>
        <w:t>2000m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，满足环评及批复中的要求。</w:t>
      </w:r>
    </w:p>
    <w:p w14:paraId="514E89FD"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③空压</w:t>
      </w:r>
    </w:p>
    <w:p w14:paraId="4D10A0F3"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原环评阶段：</w:t>
      </w:r>
      <w:r w:rsidRPr="004A20EE">
        <w:rPr>
          <w:rFonts w:hint="eastAsia"/>
          <w:sz w:val="24"/>
          <w:szCs w:val="32"/>
        </w:rPr>
        <w:t>600m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空气压缩机</w:t>
      </w:r>
      <w:r w:rsidRPr="004A20EE">
        <w:rPr>
          <w:rFonts w:hint="eastAsia"/>
          <w:sz w:val="24"/>
          <w:szCs w:val="32"/>
        </w:rPr>
        <w:t>2</w:t>
      </w:r>
      <w:r w:rsidRPr="004A20EE">
        <w:rPr>
          <w:rFonts w:hint="eastAsia"/>
          <w:sz w:val="24"/>
          <w:szCs w:val="32"/>
        </w:rPr>
        <w:t>台，压缩空气能力为</w:t>
      </w:r>
      <w:r w:rsidRPr="004A20EE">
        <w:rPr>
          <w:rFonts w:hint="eastAsia"/>
          <w:sz w:val="24"/>
          <w:szCs w:val="32"/>
        </w:rPr>
        <w:t>1200m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w:t>
      </w:r>
    </w:p>
    <w:p w14:paraId="11FB75A7"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实际建设情况：氰基苯车间使用</w:t>
      </w:r>
      <w:r w:rsidRPr="004A20EE">
        <w:rPr>
          <w:rFonts w:hint="eastAsia"/>
          <w:sz w:val="24"/>
          <w:szCs w:val="32"/>
        </w:rPr>
        <w:t>1200m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空气压缩机</w:t>
      </w:r>
      <w:r w:rsidRPr="004A20EE">
        <w:rPr>
          <w:rFonts w:hint="eastAsia"/>
          <w:sz w:val="24"/>
          <w:szCs w:val="32"/>
        </w:rPr>
        <w:t>1</w:t>
      </w:r>
      <w:r w:rsidRPr="004A20EE">
        <w:rPr>
          <w:rFonts w:hint="eastAsia"/>
          <w:sz w:val="24"/>
          <w:szCs w:val="32"/>
        </w:rPr>
        <w:t>台（</w:t>
      </w:r>
      <w:r w:rsidRPr="004A20EE">
        <w:rPr>
          <w:rFonts w:hint="eastAsia"/>
          <w:sz w:val="24"/>
          <w:szCs w:val="32"/>
        </w:rPr>
        <w:t>3#</w:t>
      </w:r>
      <w:r w:rsidRPr="004A20EE">
        <w:rPr>
          <w:rFonts w:hint="eastAsia"/>
          <w:sz w:val="24"/>
          <w:szCs w:val="32"/>
        </w:rPr>
        <w:t>），氯氰基苯车间使用</w:t>
      </w:r>
      <w:r w:rsidRPr="004A20EE">
        <w:rPr>
          <w:rFonts w:hint="eastAsia"/>
          <w:sz w:val="24"/>
          <w:szCs w:val="32"/>
        </w:rPr>
        <w:t>2000 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空气压缩机</w:t>
      </w:r>
      <w:r w:rsidRPr="004A20EE">
        <w:rPr>
          <w:rFonts w:hint="eastAsia"/>
          <w:sz w:val="24"/>
          <w:szCs w:val="32"/>
        </w:rPr>
        <w:t>1</w:t>
      </w:r>
      <w:r w:rsidRPr="004A20EE">
        <w:rPr>
          <w:rFonts w:hint="eastAsia"/>
          <w:sz w:val="24"/>
          <w:szCs w:val="32"/>
        </w:rPr>
        <w:t>台（</w:t>
      </w:r>
      <w:r w:rsidRPr="004A20EE">
        <w:rPr>
          <w:rFonts w:hint="eastAsia"/>
          <w:sz w:val="24"/>
          <w:szCs w:val="32"/>
        </w:rPr>
        <w:t>5#</w:t>
      </w:r>
      <w:r w:rsidRPr="004A20EE">
        <w:rPr>
          <w:rFonts w:hint="eastAsia"/>
          <w:sz w:val="24"/>
          <w:szCs w:val="32"/>
        </w:rPr>
        <w:t>），压缩空气能力为</w:t>
      </w:r>
      <w:r w:rsidRPr="004A20EE">
        <w:rPr>
          <w:rFonts w:hint="eastAsia"/>
          <w:sz w:val="24"/>
          <w:szCs w:val="32"/>
        </w:rPr>
        <w:t>3200m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，按实际生产调整，不涉及产污环节变化，满足环评批复中的要求。</w:t>
      </w:r>
    </w:p>
    <w:p w14:paraId="76DD464E"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④制氮</w:t>
      </w:r>
    </w:p>
    <w:p w14:paraId="21DF18D9" w14:textId="77777777" w:rsidR="00055279"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原环评阶段：</w:t>
      </w:r>
      <w:r w:rsidRPr="004A20EE">
        <w:rPr>
          <w:rFonts w:hint="eastAsia"/>
          <w:sz w:val="24"/>
          <w:szCs w:val="32"/>
        </w:rPr>
        <w:t>600m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制氮机</w:t>
      </w:r>
      <w:r w:rsidRPr="004A20EE">
        <w:rPr>
          <w:rFonts w:hint="eastAsia"/>
          <w:sz w:val="24"/>
          <w:szCs w:val="32"/>
        </w:rPr>
        <w:t>2</w:t>
      </w:r>
      <w:r w:rsidRPr="004A20EE">
        <w:rPr>
          <w:rFonts w:hint="eastAsia"/>
          <w:sz w:val="24"/>
          <w:szCs w:val="32"/>
        </w:rPr>
        <w:t>台，制氮能力为</w:t>
      </w:r>
      <w:r w:rsidRPr="004A20EE">
        <w:rPr>
          <w:rFonts w:hint="eastAsia"/>
          <w:sz w:val="24"/>
          <w:szCs w:val="32"/>
        </w:rPr>
        <w:t>1200m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w:t>
      </w:r>
    </w:p>
    <w:p w14:paraId="06C8EFB6" w14:textId="77777777" w:rsidR="00026C47" w:rsidRPr="004A20EE" w:rsidRDefault="00055279" w:rsidP="00055279">
      <w:pPr>
        <w:adjustRightInd w:val="0"/>
        <w:snapToGrid w:val="0"/>
        <w:spacing w:line="490" w:lineRule="exact"/>
        <w:ind w:firstLineChars="200" w:firstLine="480"/>
        <w:rPr>
          <w:sz w:val="24"/>
          <w:szCs w:val="32"/>
        </w:rPr>
      </w:pPr>
      <w:r w:rsidRPr="004A20EE">
        <w:rPr>
          <w:rFonts w:hint="eastAsia"/>
          <w:sz w:val="24"/>
          <w:szCs w:val="32"/>
        </w:rPr>
        <w:t>实际建设情况：氰基苯车间使用</w:t>
      </w:r>
      <w:r w:rsidRPr="004A20EE">
        <w:rPr>
          <w:rFonts w:hint="eastAsia"/>
          <w:sz w:val="24"/>
          <w:szCs w:val="32"/>
        </w:rPr>
        <w:t>500m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制氮机</w:t>
      </w:r>
      <w:r w:rsidRPr="004A20EE">
        <w:rPr>
          <w:rFonts w:hint="eastAsia"/>
          <w:sz w:val="24"/>
          <w:szCs w:val="32"/>
        </w:rPr>
        <w:t>1</w:t>
      </w:r>
      <w:r w:rsidRPr="004A20EE">
        <w:rPr>
          <w:rFonts w:hint="eastAsia"/>
          <w:sz w:val="24"/>
          <w:szCs w:val="32"/>
        </w:rPr>
        <w:t>台（</w:t>
      </w:r>
      <w:r w:rsidRPr="004A20EE">
        <w:rPr>
          <w:rFonts w:hint="eastAsia"/>
          <w:sz w:val="24"/>
          <w:szCs w:val="32"/>
        </w:rPr>
        <w:t>4#</w:t>
      </w:r>
      <w:r w:rsidRPr="004A20EE">
        <w:rPr>
          <w:rFonts w:hint="eastAsia"/>
          <w:sz w:val="24"/>
          <w:szCs w:val="32"/>
        </w:rPr>
        <w:t>），氯氰基苯车间使用</w:t>
      </w:r>
      <w:r w:rsidRPr="004A20EE">
        <w:rPr>
          <w:rFonts w:hint="eastAsia"/>
          <w:sz w:val="24"/>
          <w:szCs w:val="32"/>
        </w:rPr>
        <w:t>600m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制氮机</w:t>
      </w:r>
      <w:r w:rsidRPr="004A20EE">
        <w:rPr>
          <w:rFonts w:hint="eastAsia"/>
          <w:sz w:val="24"/>
          <w:szCs w:val="32"/>
        </w:rPr>
        <w:t>1</w:t>
      </w:r>
      <w:r w:rsidRPr="004A20EE">
        <w:rPr>
          <w:rFonts w:hint="eastAsia"/>
          <w:sz w:val="24"/>
          <w:szCs w:val="32"/>
        </w:rPr>
        <w:t>台（</w:t>
      </w:r>
      <w:r w:rsidRPr="004A20EE">
        <w:rPr>
          <w:rFonts w:hint="eastAsia"/>
          <w:sz w:val="24"/>
          <w:szCs w:val="32"/>
        </w:rPr>
        <w:t>5#</w:t>
      </w:r>
      <w:r w:rsidRPr="004A20EE">
        <w:rPr>
          <w:rFonts w:hint="eastAsia"/>
          <w:sz w:val="24"/>
          <w:szCs w:val="32"/>
        </w:rPr>
        <w:t>），制氮能力为</w:t>
      </w:r>
      <w:r w:rsidRPr="004A20EE">
        <w:rPr>
          <w:rFonts w:hint="eastAsia"/>
          <w:sz w:val="24"/>
          <w:szCs w:val="32"/>
        </w:rPr>
        <w:t>1100m</w:t>
      </w:r>
      <w:r w:rsidRPr="004A20EE">
        <w:rPr>
          <w:rFonts w:hint="eastAsia"/>
          <w:sz w:val="24"/>
          <w:szCs w:val="32"/>
          <w:vertAlign w:val="superscript"/>
        </w:rPr>
        <w:t>3</w:t>
      </w:r>
      <w:r w:rsidRPr="004A20EE">
        <w:rPr>
          <w:rFonts w:hint="eastAsia"/>
          <w:sz w:val="24"/>
          <w:szCs w:val="32"/>
        </w:rPr>
        <w:t>/h</w:t>
      </w:r>
      <w:r w:rsidRPr="004A20EE">
        <w:rPr>
          <w:rFonts w:hint="eastAsia"/>
          <w:sz w:val="24"/>
          <w:szCs w:val="32"/>
        </w:rPr>
        <w:t>，满足环评及批复中的要求。</w:t>
      </w:r>
    </w:p>
    <w:p w14:paraId="65A0D967" w14:textId="77777777" w:rsidR="00071842" w:rsidRPr="004A20EE" w:rsidRDefault="00055279" w:rsidP="00CA32A1">
      <w:pPr>
        <w:adjustRightInd w:val="0"/>
        <w:snapToGrid w:val="0"/>
        <w:spacing w:line="490" w:lineRule="exact"/>
        <w:ind w:firstLineChars="200" w:firstLine="480"/>
        <w:rPr>
          <w:sz w:val="24"/>
          <w:szCs w:val="32"/>
        </w:rPr>
      </w:pPr>
      <w:r w:rsidRPr="004A20EE">
        <w:rPr>
          <w:rFonts w:hint="eastAsia"/>
          <w:sz w:val="24"/>
          <w:szCs w:val="21"/>
        </w:rPr>
        <w:t>验收监测报告</w:t>
      </w:r>
      <w:r w:rsidR="004620E8" w:rsidRPr="004A20EE">
        <w:rPr>
          <w:rFonts w:hint="eastAsia"/>
          <w:sz w:val="24"/>
          <w:szCs w:val="21"/>
        </w:rPr>
        <w:t>章节中已设置了项目变动章节，</w:t>
      </w:r>
      <w:r w:rsidR="00B13E35" w:rsidRPr="004A20EE">
        <w:rPr>
          <w:b/>
          <w:sz w:val="24"/>
          <w:szCs w:val="32"/>
        </w:rPr>
        <w:t>对照《关于加强建设项目重大变动环评管理的通知》（苏环办</w:t>
      </w:r>
      <w:r w:rsidR="00B13E35" w:rsidRPr="004A20EE">
        <w:rPr>
          <w:b/>
          <w:sz w:val="24"/>
          <w:szCs w:val="32"/>
        </w:rPr>
        <w:t>[2015]256</w:t>
      </w:r>
      <w:r w:rsidR="00B13E35" w:rsidRPr="004A20EE">
        <w:rPr>
          <w:b/>
          <w:sz w:val="24"/>
          <w:szCs w:val="32"/>
        </w:rPr>
        <w:t>号）中</w:t>
      </w:r>
      <w:r w:rsidR="00B13E35" w:rsidRPr="004A20EE">
        <w:rPr>
          <w:b/>
          <w:sz w:val="24"/>
          <w:szCs w:val="32"/>
        </w:rPr>
        <w:t>“</w:t>
      </w:r>
      <w:r w:rsidR="00B13E35" w:rsidRPr="004A20EE">
        <w:rPr>
          <w:b/>
          <w:sz w:val="24"/>
          <w:szCs w:val="32"/>
        </w:rPr>
        <w:t>其他工业类建设项目重大变动清单</w:t>
      </w:r>
      <w:r w:rsidR="00B13E35" w:rsidRPr="004A20EE">
        <w:rPr>
          <w:b/>
          <w:sz w:val="24"/>
          <w:szCs w:val="32"/>
        </w:rPr>
        <w:t>”</w:t>
      </w:r>
      <w:r w:rsidR="00B13E35" w:rsidRPr="004A20EE">
        <w:rPr>
          <w:b/>
          <w:sz w:val="24"/>
          <w:szCs w:val="32"/>
        </w:rPr>
        <w:t>，</w:t>
      </w:r>
      <w:r w:rsidR="006C148A" w:rsidRPr="004A20EE">
        <w:rPr>
          <w:rFonts w:hint="eastAsia"/>
          <w:b/>
          <w:sz w:val="24"/>
          <w:szCs w:val="32"/>
        </w:rPr>
        <w:t>本项目一期工程</w:t>
      </w:r>
      <w:r w:rsidR="004620E8" w:rsidRPr="004A20EE">
        <w:rPr>
          <w:rFonts w:hint="eastAsia"/>
          <w:b/>
          <w:sz w:val="24"/>
          <w:szCs w:val="32"/>
        </w:rPr>
        <w:t>存在变动但不属于重大变动的，应纳入竣工环境保护验收管理</w:t>
      </w:r>
      <w:r w:rsidR="00071842" w:rsidRPr="004A20EE">
        <w:rPr>
          <w:sz w:val="24"/>
          <w:szCs w:val="32"/>
        </w:rPr>
        <w:t>。</w:t>
      </w:r>
    </w:p>
    <w:p w14:paraId="66C13EC6" w14:textId="77777777" w:rsidR="00071842" w:rsidRPr="004A20EE" w:rsidRDefault="00071842" w:rsidP="00540FD0">
      <w:pPr>
        <w:adjustRightInd w:val="0"/>
        <w:snapToGrid w:val="0"/>
        <w:spacing w:line="490" w:lineRule="exact"/>
        <w:ind w:firstLineChars="200" w:firstLine="482"/>
        <w:outlineLvl w:val="0"/>
        <w:rPr>
          <w:b/>
          <w:sz w:val="24"/>
          <w:szCs w:val="24"/>
        </w:rPr>
      </w:pPr>
      <w:r w:rsidRPr="004A20EE">
        <w:rPr>
          <w:b/>
          <w:sz w:val="24"/>
          <w:szCs w:val="24"/>
        </w:rPr>
        <w:t>三、</w:t>
      </w:r>
      <w:r w:rsidRPr="004A20EE">
        <w:rPr>
          <w:b/>
          <w:bCs/>
          <w:sz w:val="24"/>
          <w:szCs w:val="30"/>
        </w:rPr>
        <w:t>污染防治措施落实情况以及验收监测结果</w:t>
      </w:r>
    </w:p>
    <w:p w14:paraId="2699676B" w14:textId="39E8C9D7" w:rsidR="004620E8" w:rsidRPr="004A20EE" w:rsidRDefault="004620E8" w:rsidP="004620E8">
      <w:pPr>
        <w:adjustRightInd w:val="0"/>
        <w:snapToGrid w:val="0"/>
        <w:spacing w:line="490" w:lineRule="exact"/>
        <w:ind w:firstLineChars="200" w:firstLine="482"/>
        <w:rPr>
          <w:b/>
          <w:sz w:val="24"/>
          <w:szCs w:val="24"/>
        </w:rPr>
      </w:pPr>
      <w:r w:rsidRPr="004A20EE">
        <w:rPr>
          <w:b/>
          <w:sz w:val="24"/>
          <w:szCs w:val="24"/>
        </w:rPr>
        <w:t>（</w:t>
      </w:r>
      <w:r w:rsidR="00B925C9" w:rsidRPr="004A20EE">
        <w:rPr>
          <w:rFonts w:hint="eastAsia"/>
          <w:b/>
          <w:sz w:val="24"/>
        </w:rPr>
        <w:t>一</w:t>
      </w:r>
      <w:r w:rsidRPr="004A20EE">
        <w:rPr>
          <w:b/>
          <w:sz w:val="24"/>
          <w:szCs w:val="24"/>
        </w:rPr>
        <w:t>）</w:t>
      </w:r>
      <w:r w:rsidR="00B925C9" w:rsidRPr="004A20EE">
        <w:rPr>
          <w:rFonts w:hint="eastAsia"/>
          <w:b/>
          <w:sz w:val="24"/>
          <w:szCs w:val="24"/>
        </w:rPr>
        <w:t>固废处置及其防治措施</w:t>
      </w:r>
    </w:p>
    <w:p w14:paraId="66213701" w14:textId="77777777" w:rsidR="004620E8" w:rsidRPr="004A20EE" w:rsidRDefault="004620E8" w:rsidP="004620E8">
      <w:pPr>
        <w:tabs>
          <w:tab w:val="left" w:pos="1170"/>
        </w:tabs>
        <w:adjustRightInd w:val="0"/>
        <w:snapToGrid w:val="0"/>
        <w:spacing w:line="490" w:lineRule="exact"/>
        <w:ind w:firstLineChars="200" w:firstLine="482"/>
        <w:rPr>
          <w:b/>
          <w:bCs/>
          <w:sz w:val="24"/>
          <w:szCs w:val="24"/>
        </w:rPr>
      </w:pPr>
      <w:r w:rsidRPr="004A20EE">
        <w:rPr>
          <w:b/>
          <w:bCs/>
          <w:sz w:val="24"/>
          <w:szCs w:val="24"/>
        </w:rPr>
        <w:lastRenderedPageBreak/>
        <w:t>1</w:t>
      </w:r>
      <w:r w:rsidRPr="004A20EE">
        <w:rPr>
          <w:b/>
          <w:bCs/>
          <w:sz w:val="24"/>
          <w:szCs w:val="24"/>
        </w:rPr>
        <w:t>、环评及批复要求</w:t>
      </w:r>
    </w:p>
    <w:p w14:paraId="234817FA" w14:textId="198C93AE" w:rsidR="00CA32A1" w:rsidRPr="004A20EE" w:rsidRDefault="00B925C9" w:rsidP="00CA32A1">
      <w:pPr>
        <w:adjustRightInd w:val="0"/>
        <w:snapToGrid w:val="0"/>
        <w:spacing w:line="500" w:lineRule="exact"/>
        <w:ind w:firstLineChars="200" w:firstLine="480"/>
        <w:rPr>
          <w:sz w:val="24"/>
          <w:szCs w:val="24"/>
        </w:rPr>
      </w:pPr>
      <w:r w:rsidRPr="004A20EE">
        <w:rPr>
          <w:rFonts w:hint="eastAsia"/>
          <w:sz w:val="24"/>
          <w:szCs w:val="24"/>
        </w:rPr>
        <w:t>按照“减量化、资源化、无害化”处置原则，落实各类固体废物特别是危险废物的收集和处置措施。项目产生的废催化剂、蒸馏残渣、废液、废活性炭、布袋除尘器废滤袋、废盐、污水站污泥、废矿物油、实验室废液等属危险废物，应委托有资质的单位安全处置。废包装桶（袋）由有处理资质的厂家回收利用。生活垃圾委托环卫部门清运。厂内固体废物暂存场所须按照国家有关规定要求设置，防止造成二次污染。</w:t>
      </w:r>
    </w:p>
    <w:p w14:paraId="1FCC99E7" w14:textId="77777777" w:rsidR="004620E8" w:rsidRPr="004A20EE" w:rsidRDefault="004620E8" w:rsidP="004620E8">
      <w:pPr>
        <w:adjustRightInd w:val="0"/>
        <w:snapToGrid w:val="0"/>
        <w:spacing w:line="490" w:lineRule="exact"/>
        <w:ind w:firstLineChars="200" w:firstLine="482"/>
        <w:rPr>
          <w:b/>
          <w:sz w:val="24"/>
          <w:szCs w:val="24"/>
        </w:rPr>
      </w:pPr>
      <w:r w:rsidRPr="004A20EE">
        <w:rPr>
          <w:b/>
          <w:sz w:val="24"/>
          <w:szCs w:val="24"/>
        </w:rPr>
        <w:t>2</w:t>
      </w:r>
      <w:r w:rsidRPr="004A20EE">
        <w:rPr>
          <w:b/>
          <w:sz w:val="24"/>
          <w:szCs w:val="24"/>
        </w:rPr>
        <w:t>、实际建设情况：</w:t>
      </w:r>
    </w:p>
    <w:p w14:paraId="34CBA5DD" w14:textId="143F4343" w:rsidR="00B925C9" w:rsidRPr="004A20EE" w:rsidRDefault="00B925C9" w:rsidP="00B925C9">
      <w:pPr>
        <w:adjustRightInd w:val="0"/>
        <w:snapToGrid w:val="0"/>
        <w:spacing w:line="500" w:lineRule="exact"/>
        <w:ind w:firstLineChars="200" w:firstLine="480"/>
        <w:rPr>
          <w:sz w:val="24"/>
          <w:szCs w:val="24"/>
        </w:rPr>
      </w:pPr>
      <w:r w:rsidRPr="004A20EE">
        <w:rPr>
          <w:rFonts w:hint="eastAsia"/>
          <w:sz w:val="24"/>
          <w:szCs w:val="24"/>
        </w:rPr>
        <w:t>南厂区中间偏东侧位置已建设</w:t>
      </w:r>
      <w:r w:rsidRPr="004A20EE">
        <w:rPr>
          <w:rFonts w:hint="eastAsia"/>
          <w:sz w:val="24"/>
          <w:szCs w:val="24"/>
        </w:rPr>
        <w:t>2</w:t>
      </w:r>
      <w:r w:rsidRPr="004A20EE">
        <w:rPr>
          <w:rFonts w:hint="eastAsia"/>
          <w:sz w:val="24"/>
          <w:szCs w:val="24"/>
        </w:rPr>
        <w:t>座</w:t>
      </w:r>
      <w:r w:rsidRPr="004A20EE">
        <w:rPr>
          <w:rFonts w:hint="eastAsia"/>
          <w:sz w:val="24"/>
          <w:szCs w:val="24"/>
        </w:rPr>
        <w:t>200m</w:t>
      </w:r>
      <w:r w:rsidRPr="004A20EE">
        <w:rPr>
          <w:rFonts w:hint="eastAsia"/>
          <w:sz w:val="24"/>
          <w:szCs w:val="24"/>
          <w:vertAlign w:val="superscript"/>
        </w:rPr>
        <w:t>2</w:t>
      </w:r>
      <w:r w:rsidRPr="004A20EE">
        <w:rPr>
          <w:rFonts w:hint="eastAsia"/>
          <w:sz w:val="24"/>
          <w:szCs w:val="24"/>
        </w:rPr>
        <w:t>的危险废物贮存场所，该场所为密闭厂房，地面采用“三油五布”防渗措施，内部设置有导流渠；在出入口、设施内部、危险废物运输车辆通道等关键位置设置了视频监控，并与中控室联网；采用了立式固定方式在厂区门口醒目位置设置了危险废物产生单位信息公开牌；与新沂市沭言环卫保洁服务公司签订了生活垃圾转运协议；与</w:t>
      </w:r>
      <w:r w:rsidR="004A20EE" w:rsidRPr="004A20EE">
        <w:rPr>
          <w:rFonts w:hint="eastAsia"/>
          <w:sz w:val="24"/>
          <w:szCs w:val="24"/>
        </w:rPr>
        <w:t>灌南金圆环保科技有限公司、光大环保（连云港）固废处置有限公司、光大环保固废处置（新沂）有限公司、泰兴苏伊士废料处理有限公司、盐城市国投环境技术股份有限公司、扬州东昇固废环保处理有限公司等单位</w:t>
      </w:r>
      <w:r w:rsidRPr="004A20EE">
        <w:rPr>
          <w:rFonts w:hint="eastAsia"/>
          <w:sz w:val="24"/>
          <w:szCs w:val="24"/>
        </w:rPr>
        <w:t>签订了危险废物委托处置合同</w:t>
      </w:r>
      <w:r w:rsidR="004A20EE" w:rsidRPr="004A20EE">
        <w:rPr>
          <w:rFonts w:hint="eastAsia"/>
          <w:sz w:val="24"/>
          <w:szCs w:val="24"/>
        </w:rPr>
        <w:t>；</w:t>
      </w:r>
      <w:r w:rsidRPr="004A20EE">
        <w:rPr>
          <w:rFonts w:hint="eastAsia"/>
          <w:sz w:val="24"/>
          <w:szCs w:val="24"/>
        </w:rPr>
        <w:t>危险废物贮存场所采取了相应防渗措施和风险防范措施，满足《危险废物贮存污染控制标准》</w:t>
      </w:r>
      <w:r w:rsidRPr="004A20EE">
        <w:rPr>
          <w:rFonts w:hint="eastAsia"/>
          <w:sz w:val="24"/>
          <w:szCs w:val="24"/>
        </w:rPr>
        <w:t>( GB18597-2001)</w:t>
      </w:r>
      <w:r w:rsidRPr="004A20EE">
        <w:rPr>
          <w:rFonts w:hint="eastAsia"/>
          <w:sz w:val="24"/>
          <w:szCs w:val="24"/>
        </w:rPr>
        <w:t>要求。</w:t>
      </w:r>
    </w:p>
    <w:p w14:paraId="35ED5DD9" w14:textId="53EC007E" w:rsidR="00071842" w:rsidRPr="004A20EE" w:rsidRDefault="00071842" w:rsidP="00223908">
      <w:pPr>
        <w:adjustRightInd w:val="0"/>
        <w:snapToGrid w:val="0"/>
        <w:spacing w:line="490" w:lineRule="exact"/>
        <w:ind w:firstLineChars="200" w:firstLine="482"/>
        <w:rPr>
          <w:b/>
          <w:sz w:val="24"/>
        </w:rPr>
      </w:pPr>
      <w:r w:rsidRPr="004A20EE">
        <w:rPr>
          <w:b/>
          <w:sz w:val="24"/>
        </w:rPr>
        <w:t>（</w:t>
      </w:r>
      <w:r w:rsidR="00D725E0" w:rsidRPr="004A20EE">
        <w:rPr>
          <w:rFonts w:hint="eastAsia"/>
          <w:b/>
          <w:sz w:val="24"/>
        </w:rPr>
        <w:t>二</w:t>
      </w:r>
      <w:r w:rsidRPr="004A20EE">
        <w:rPr>
          <w:b/>
          <w:sz w:val="24"/>
        </w:rPr>
        <w:t>）其他要求</w:t>
      </w:r>
    </w:p>
    <w:p w14:paraId="6E361037" w14:textId="77777777" w:rsidR="00B13E35" w:rsidRPr="004A20EE" w:rsidRDefault="00B13E35" w:rsidP="00223908">
      <w:pPr>
        <w:adjustRightInd w:val="0"/>
        <w:snapToGrid w:val="0"/>
        <w:spacing w:line="490" w:lineRule="exact"/>
        <w:ind w:firstLineChars="200" w:firstLine="482"/>
        <w:rPr>
          <w:b/>
          <w:sz w:val="24"/>
          <w:szCs w:val="24"/>
        </w:rPr>
      </w:pPr>
      <w:r w:rsidRPr="004A20EE">
        <w:rPr>
          <w:b/>
          <w:sz w:val="24"/>
          <w:szCs w:val="24"/>
        </w:rPr>
        <w:t>（</w:t>
      </w:r>
      <w:r w:rsidRPr="004A20EE">
        <w:rPr>
          <w:b/>
          <w:sz w:val="24"/>
          <w:szCs w:val="24"/>
        </w:rPr>
        <w:t>1</w:t>
      </w:r>
      <w:r w:rsidRPr="004A20EE">
        <w:rPr>
          <w:b/>
          <w:sz w:val="24"/>
          <w:szCs w:val="24"/>
        </w:rPr>
        <w:t>）环境风险防范设施</w:t>
      </w:r>
    </w:p>
    <w:p w14:paraId="2B190BA3" w14:textId="77777777" w:rsidR="00B13E35" w:rsidRPr="004A20EE" w:rsidRDefault="00B13E35" w:rsidP="00540FD0">
      <w:pPr>
        <w:adjustRightInd w:val="0"/>
        <w:snapToGrid w:val="0"/>
        <w:spacing w:line="490" w:lineRule="exact"/>
        <w:ind w:firstLineChars="200" w:firstLine="482"/>
        <w:rPr>
          <w:b/>
          <w:sz w:val="24"/>
          <w:szCs w:val="24"/>
        </w:rPr>
      </w:pPr>
      <w:r w:rsidRPr="004A20EE">
        <w:rPr>
          <w:b/>
          <w:sz w:val="24"/>
          <w:szCs w:val="24"/>
        </w:rPr>
        <w:t>1</w:t>
      </w:r>
      <w:r w:rsidRPr="004A20EE">
        <w:rPr>
          <w:b/>
          <w:sz w:val="24"/>
          <w:szCs w:val="24"/>
        </w:rPr>
        <w:t>、环评要求：</w:t>
      </w:r>
    </w:p>
    <w:p w14:paraId="7AE03737" w14:textId="77777777" w:rsidR="00223908" w:rsidRPr="004A20EE" w:rsidRDefault="00223908" w:rsidP="004620E8">
      <w:pPr>
        <w:adjustRightInd w:val="0"/>
        <w:snapToGrid w:val="0"/>
        <w:spacing w:line="500" w:lineRule="exact"/>
        <w:ind w:firstLineChars="200" w:firstLine="480"/>
        <w:rPr>
          <w:sz w:val="24"/>
          <w:szCs w:val="24"/>
        </w:rPr>
      </w:pPr>
      <w:r w:rsidRPr="004A20EE">
        <w:rPr>
          <w:sz w:val="24"/>
          <w:szCs w:val="24"/>
        </w:rPr>
        <w:t>加强环境风险管理，落实《报告书》提出的环境风险防范措施。在工程设计、施工和运营中要科学规划、合理布置、严格执行国家有关化工企业安全设计规范，定期对设备设施进行保养检修，消除事故隐患，避免污染物的非正常排放和各种环境风险事故的发生。制定好各种故事风险防范和应急措施并定期演练，配套相应的事故应急处置设施和物资。项目须设置足够容量的事故废水和消防尾水储池。</w:t>
      </w:r>
    </w:p>
    <w:p w14:paraId="06B3325E" w14:textId="4C9D3BBB" w:rsidR="00B13E35" w:rsidRPr="004A20EE" w:rsidRDefault="00B13E35" w:rsidP="00540FD0">
      <w:pPr>
        <w:adjustRightInd w:val="0"/>
        <w:snapToGrid w:val="0"/>
        <w:spacing w:line="490" w:lineRule="exact"/>
        <w:ind w:firstLineChars="200" w:firstLine="482"/>
        <w:rPr>
          <w:b/>
          <w:sz w:val="24"/>
          <w:szCs w:val="24"/>
        </w:rPr>
      </w:pPr>
      <w:r w:rsidRPr="004A20EE">
        <w:rPr>
          <w:b/>
          <w:sz w:val="24"/>
          <w:szCs w:val="24"/>
        </w:rPr>
        <w:t>2</w:t>
      </w:r>
      <w:r w:rsidRPr="004A20EE">
        <w:rPr>
          <w:b/>
          <w:sz w:val="24"/>
          <w:szCs w:val="24"/>
        </w:rPr>
        <w:t>、实际建设情况：</w:t>
      </w:r>
    </w:p>
    <w:p w14:paraId="239FFD84" w14:textId="77777777" w:rsidR="00223908" w:rsidRPr="004A20EE" w:rsidRDefault="00223908" w:rsidP="00223908">
      <w:pPr>
        <w:pStyle w:val="ac"/>
        <w:adjustRightInd w:val="0"/>
        <w:snapToGrid w:val="0"/>
        <w:spacing w:line="500" w:lineRule="exact"/>
        <w:ind w:firstLine="480"/>
        <w:rPr>
          <w:szCs w:val="24"/>
        </w:rPr>
      </w:pPr>
      <w:r w:rsidRPr="004A20EE">
        <w:rPr>
          <w:szCs w:val="24"/>
        </w:rPr>
        <w:t>江苏维尤纳特精细化学工有限公司于</w:t>
      </w:r>
      <w:r w:rsidRPr="004A20EE">
        <w:rPr>
          <w:szCs w:val="24"/>
        </w:rPr>
        <w:t>201</w:t>
      </w:r>
      <w:r w:rsidR="000937A8" w:rsidRPr="004A20EE">
        <w:rPr>
          <w:szCs w:val="24"/>
        </w:rPr>
        <w:t>9</w:t>
      </w:r>
      <w:r w:rsidRPr="004A20EE">
        <w:rPr>
          <w:szCs w:val="24"/>
        </w:rPr>
        <w:t>年</w:t>
      </w:r>
      <w:r w:rsidRPr="004A20EE">
        <w:rPr>
          <w:szCs w:val="24"/>
        </w:rPr>
        <w:t>3</w:t>
      </w:r>
      <w:r w:rsidRPr="004A20EE">
        <w:rPr>
          <w:szCs w:val="24"/>
        </w:rPr>
        <w:t>月编制了突发环境事件应急</w:t>
      </w:r>
      <w:r w:rsidRPr="004A20EE">
        <w:rPr>
          <w:szCs w:val="24"/>
        </w:rPr>
        <w:lastRenderedPageBreak/>
        <w:t>预案，并在新沂市环境保护局备案（备案号：</w:t>
      </w:r>
      <w:r w:rsidRPr="004A20EE">
        <w:rPr>
          <w:szCs w:val="24"/>
        </w:rPr>
        <w:t>320381-201</w:t>
      </w:r>
      <w:r w:rsidR="000937A8" w:rsidRPr="004A20EE">
        <w:rPr>
          <w:szCs w:val="24"/>
        </w:rPr>
        <w:t>9323-011-H</w:t>
      </w:r>
      <w:r w:rsidRPr="004A20EE">
        <w:rPr>
          <w:szCs w:val="24"/>
        </w:rPr>
        <w:t>），企业定期开展员工培训，配备了相应的应急物资，确保事故状态下的环境安全；南厂区建设了</w:t>
      </w:r>
      <w:r w:rsidRPr="004A20EE">
        <w:rPr>
          <w:szCs w:val="24"/>
        </w:rPr>
        <w:t>1</w:t>
      </w:r>
      <w:r w:rsidRPr="004A20EE">
        <w:rPr>
          <w:szCs w:val="24"/>
        </w:rPr>
        <w:t>座</w:t>
      </w:r>
      <w:r w:rsidRPr="004A20EE">
        <w:rPr>
          <w:szCs w:val="24"/>
        </w:rPr>
        <w:t>500m</w:t>
      </w:r>
      <w:r w:rsidRPr="004A20EE">
        <w:rPr>
          <w:szCs w:val="24"/>
          <w:vertAlign w:val="superscript"/>
        </w:rPr>
        <w:t>3</w:t>
      </w:r>
      <w:r w:rsidRPr="004A20EE">
        <w:rPr>
          <w:szCs w:val="24"/>
        </w:rPr>
        <w:t>事故池。</w:t>
      </w:r>
    </w:p>
    <w:p w14:paraId="4BCD81BA" w14:textId="77777777" w:rsidR="00223908" w:rsidRPr="004A20EE" w:rsidRDefault="00223908" w:rsidP="00223908">
      <w:pPr>
        <w:pStyle w:val="ac"/>
        <w:adjustRightInd w:val="0"/>
        <w:snapToGrid w:val="0"/>
        <w:spacing w:line="500" w:lineRule="exact"/>
        <w:ind w:firstLine="480"/>
        <w:rPr>
          <w:szCs w:val="24"/>
        </w:rPr>
      </w:pPr>
      <w:r w:rsidRPr="004A20EE">
        <w:rPr>
          <w:szCs w:val="24"/>
        </w:rPr>
        <w:t>江苏维尤纳特精细化学工有限公司每年定期组织环保突发事件应急演练，并对演练中存在问题进行整改落实，不断提升公司整体环境突发事件应急处置能力。</w:t>
      </w:r>
    </w:p>
    <w:p w14:paraId="25F68F11" w14:textId="77777777" w:rsidR="00B13E35" w:rsidRPr="004A20EE" w:rsidRDefault="00B13E35" w:rsidP="00540FD0">
      <w:pPr>
        <w:adjustRightInd w:val="0"/>
        <w:snapToGrid w:val="0"/>
        <w:spacing w:line="490" w:lineRule="exact"/>
        <w:ind w:firstLineChars="200" w:firstLine="482"/>
        <w:rPr>
          <w:b/>
          <w:sz w:val="24"/>
          <w:szCs w:val="24"/>
        </w:rPr>
      </w:pPr>
      <w:r w:rsidRPr="004A20EE">
        <w:rPr>
          <w:b/>
          <w:sz w:val="24"/>
          <w:szCs w:val="24"/>
        </w:rPr>
        <w:t>（</w:t>
      </w:r>
      <w:r w:rsidRPr="004A20EE">
        <w:rPr>
          <w:b/>
          <w:sz w:val="24"/>
          <w:szCs w:val="24"/>
        </w:rPr>
        <w:t>2</w:t>
      </w:r>
      <w:r w:rsidRPr="004A20EE">
        <w:rPr>
          <w:b/>
          <w:sz w:val="24"/>
          <w:szCs w:val="24"/>
        </w:rPr>
        <w:t>）规范化排污口、监测设施及在线监测装置</w:t>
      </w:r>
    </w:p>
    <w:p w14:paraId="7EDB587D" w14:textId="77777777" w:rsidR="00B13E35" w:rsidRPr="004A20EE" w:rsidRDefault="00B13E35" w:rsidP="00223908">
      <w:pPr>
        <w:adjustRightInd w:val="0"/>
        <w:snapToGrid w:val="0"/>
        <w:spacing w:line="500" w:lineRule="exact"/>
        <w:ind w:firstLineChars="200" w:firstLine="482"/>
        <w:rPr>
          <w:b/>
          <w:sz w:val="24"/>
          <w:szCs w:val="24"/>
        </w:rPr>
      </w:pPr>
      <w:r w:rsidRPr="004A20EE">
        <w:rPr>
          <w:b/>
          <w:sz w:val="24"/>
          <w:szCs w:val="24"/>
        </w:rPr>
        <w:t>1</w:t>
      </w:r>
      <w:r w:rsidRPr="004A20EE">
        <w:rPr>
          <w:b/>
          <w:sz w:val="24"/>
          <w:szCs w:val="24"/>
        </w:rPr>
        <w:t>、环评要求：</w:t>
      </w:r>
    </w:p>
    <w:p w14:paraId="3FDEA108" w14:textId="77777777" w:rsidR="00223908" w:rsidRPr="004A20EE" w:rsidRDefault="00223908" w:rsidP="00223908">
      <w:pPr>
        <w:adjustRightInd w:val="0"/>
        <w:snapToGrid w:val="0"/>
        <w:spacing w:line="500" w:lineRule="exact"/>
        <w:ind w:firstLineChars="200" w:firstLine="480"/>
        <w:rPr>
          <w:sz w:val="24"/>
          <w:szCs w:val="24"/>
        </w:rPr>
      </w:pPr>
      <w:r w:rsidRPr="004A20EE">
        <w:rPr>
          <w:sz w:val="24"/>
          <w:szCs w:val="24"/>
        </w:rPr>
        <w:t>按《江苏省排污口设置及规划化整治管理办法》及《江苏省污染源自动监控管理暂行办法》的规定设置各类排污口和标志。项目南厂区设置</w:t>
      </w:r>
      <w:r w:rsidRPr="004A20EE">
        <w:rPr>
          <w:sz w:val="24"/>
          <w:szCs w:val="24"/>
        </w:rPr>
        <w:t>1</w:t>
      </w:r>
      <w:r w:rsidRPr="004A20EE">
        <w:rPr>
          <w:sz w:val="24"/>
          <w:szCs w:val="24"/>
        </w:rPr>
        <w:t>个污水排放口，南、北厂区分别设置雨水排放口各</w:t>
      </w:r>
      <w:r w:rsidRPr="004A20EE">
        <w:rPr>
          <w:sz w:val="24"/>
          <w:szCs w:val="24"/>
        </w:rPr>
        <w:t>1</w:t>
      </w:r>
      <w:r w:rsidRPr="004A20EE">
        <w:rPr>
          <w:sz w:val="24"/>
          <w:szCs w:val="24"/>
        </w:rPr>
        <w:t>个。生产废水排放口须增设</w:t>
      </w:r>
      <w:r w:rsidRPr="004A20EE">
        <w:rPr>
          <w:sz w:val="24"/>
          <w:szCs w:val="24"/>
        </w:rPr>
        <w:t>NH</w:t>
      </w:r>
      <w:r w:rsidRPr="004A20EE">
        <w:rPr>
          <w:sz w:val="24"/>
          <w:szCs w:val="24"/>
          <w:vertAlign w:val="subscript"/>
        </w:rPr>
        <w:t>3</w:t>
      </w:r>
      <w:r w:rsidRPr="004A20EE">
        <w:rPr>
          <w:sz w:val="24"/>
          <w:szCs w:val="24"/>
        </w:rPr>
        <w:t>-N</w:t>
      </w:r>
      <w:r w:rsidRPr="004A20EE">
        <w:rPr>
          <w:sz w:val="24"/>
          <w:szCs w:val="24"/>
        </w:rPr>
        <w:t>、</w:t>
      </w:r>
      <w:r w:rsidRPr="004A20EE">
        <w:rPr>
          <w:sz w:val="24"/>
          <w:szCs w:val="24"/>
        </w:rPr>
        <w:t>SS</w:t>
      </w:r>
      <w:r w:rsidRPr="004A20EE">
        <w:rPr>
          <w:sz w:val="24"/>
          <w:szCs w:val="24"/>
        </w:rPr>
        <w:t>、流量等在线监测装置；</w:t>
      </w:r>
      <w:r w:rsidR="006C148A" w:rsidRPr="004A20EE">
        <w:rPr>
          <w:sz w:val="24"/>
          <w:szCs w:val="24"/>
        </w:rPr>
        <w:t>本项目一期工程</w:t>
      </w:r>
      <w:r w:rsidRPr="004A20EE">
        <w:rPr>
          <w:sz w:val="24"/>
          <w:szCs w:val="24"/>
        </w:rPr>
        <w:t>的二级</w:t>
      </w:r>
      <w:r w:rsidRPr="004A20EE">
        <w:rPr>
          <w:sz w:val="24"/>
          <w:szCs w:val="24"/>
        </w:rPr>
        <w:t>80%</w:t>
      </w:r>
      <w:r w:rsidRPr="004A20EE">
        <w:rPr>
          <w:sz w:val="24"/>
          <w:szCs w:val="24"/>
        </w:rPr>
        <w:t>硫酸喷淋塔（处理氨）及三级降膜水吸收</w:t>
      </w:r>
      <w:r w:rsidRPr="004A20EE">
        <w:rPr>
          <w:sz w:val="24"/>
          <w:szCs w:val="24"/>
        </w:rPr>
        <w:t>+</w:t>
      </w:r>
      <w:r w:rsidRPr="004A20EE">
        <w:rPr>
          <w:sz w:val="24"/>
          <w:szCs w:val="24"/>
        </w:rPr>
        <w:t>二级碱吸收塔（处理氯化氢、氯）及南北厂区的</w:t>
      </w:r>
      <w:r w:rsidRPr="004A20EE">
        <w:rPr>
          <w:sz w:val="24"/>
          <w:szCs w:val="24"/>
        </w:rPr>
        <w:t>RTO</w:t>
      </w:r>
      <w:r w:rsidRPr="004A20EE">
        <w:rPr>
          <w:sz w:val="24"/>
          <w:szCs w:val="24"/>
        </w:rPr>
        <w:t>焚烧炉等废气治理设施须安装在线监控设备。</w:t>
      </w:r>
    </w:p>
    <w:p w14:paraId="5AD47FDA" w14:textId="77777777" w:rsidR="00B13E35" w:rsidRPr="004A20EE" w:rsidRDefault="00B13E35" w:rsidP="00223908">
      <w:pPr>
        <w:adjustRightInd w:val="0"/>
        <w:snapToGrid w:val="0"/>
        <w:spacing w:line="500" w:lineRule="exact"/>
        <w:ind w:firstLineChars="200" w:firstLine="482"/>
        <w:rPr>
          <w:b/>
          <w:sz w:val="24"/>
          <w:szCs w:val="24"/>
        </w:rPr>
      </w:pPr>
      <w:r w:rsidRPr="004A20EE">
        <w:rPr>
          <w:b/>
          <w:sz w:val="24"/>
          <w:szCs w:val="24"/>
        </w:rPr>
        <w:t>2</w:t>
      </w:r>
      <w:r w:rsidRPr="004A20EE">
        <w:rPr>
          <w:b/>
          <w:sz w:val="24"/>
          <w:szCs w:val="24"/>
        </w:rPr>
        <w:t>、</w:t>
      </w:r>
      <w:r w:rsidR="006A2F91" w:rsidRPr="004A20EE">
        <w:rPr>
          <w:b/>
          <w:sz w:val="24"/>
          <w:szCs w:val="24"/>
        </w:rPr>
        <w:t>实际建设情况：</w:t>
      </w:r>
    </w:p>
    <w:p w14:paraId="2539C722" w14:textId="77777777" w:rsidR="00223908" w:rsidRPr="004A20EE" w:rsidRDefault="00223908" w:rsidP="00F25EA5">
      <w:pPr>
        <w:pStyle w:val="ac"/>
        <w:adjustRightInd w:val="0"/>
        <w:snapToGrid w:val="0"/>
        <w:spacing w:line="500" w:lineRule="exact"/>
        <w:ind w:firstLine="480"/>
        <w:rPr>
          <w:szCs w:val="24"/>
        </w:rPr>
      </w:pPr>
      <w:r w:rsidRPr="004A20EE">
        <w:rPr>
          <w:szCs w:val="24"/>
        </w:rPr>
        <w:t>江苏维尤纳特精细化学工有限公司已按《江苏省排污口设置及规范化整治管理办法》</w:t>
      </w:r>
      <w:r w:rsidRPr="004A20EE">
        <w:rPr>
          <w:szCs w:val="24"/>
        </w:rPr>
        <w:t>(</w:t>
      </w:r>
      <w:r w:rsidRPr="004A20EE">
        <w:rPr>
          <w:szCs w:val="24"/>
        </w:rPr>
        <w:t>苏环控</w:t>
      </w:r>
      <w:r w:rsidRPr="004A20EE">
        <w:rPr>
          <w:szCs w:val="24"/>
        </w:rPr>
        <w:t>[1997]122</w:t>
      </w:r>
      <w:r w:rsidRPr="004A20EE">
        <w:rPr>
          <w:szCs w:val="24"/>
        </w:rPr>
        <w:t>号文</w:t>
      </w:r>
      <w:r w:rsidRPr="004A20EE">
        <w:rPr>
          <w:szCs w:val="24"/>
        </w:rPr>
        <w:t>)</w:t>
      </w:r>
      <w:r w:rsidRPr="004A20EE">
        <w:rPr>
          <w:szCs w:val="24"/>
        </w:rPr>
        <w:t>的要求，规范设置了废气、废水排污口和废水、废气、噪声、固废标志牌。</w:t>
      </w:r>
    </w:p>
    <w:p w14:paraId="34991D46" w14:textId="77777777" w:rsidR="00223908" w:rsidRPr="004A20EE" w:rsidRDefault="00223908" w:rsidP="00F25EA5">
      <w:pPr>
        <w:adjustRightInd w:val="0"/>
        <w:snapToGrid w:val="0"/>
        <w:spacing w:line="500" w:lineRule="exact"/>
        <w:ind w:firstLineChars="200" w:firstLine="480"/>
        <w:rPr>
          <w:sz w:val="24"/>
          <w:szCs w:val="24"/>
        </w:rPr>
      </w:pPr>
      <w:r w:rsidRPr="004A20EE">
        <w:rPr>
          <w:sz w:val="24"/>
          <w:szCs w:val="24"/>
        </w:rPr>
        <w:t>废水排放口设有</w:t>
      </w:r>
      <w:r w:rsidRPr="004A20EE">
        <w:rPr>
          <w:sz w:val="24"/>
          <w:szCs w:val="24"/>
        </w:rPr>
        <w:t>pH</w:t>
      </w:r>
      <w:r w:rsidRPr="004A20EE">
        <w:rPr>
          <w:sz w:val="24"/>
          <w:szCs w:val="24"/>
        </w:rPr>
        <w:t>值、流量、</w:t>
      </w:r>
      <w:r w:rsidRPr="004A20EE">
        <w:rPr>
          <w:sz w:val="24"/>
          <w:szCs w:val="24"/>
        </w:rPr>
        <w:t>COD</w:t>
      </w:r>
      <w:r w:rsidRPr="004A20EE">
        <w:rPr>
          <w:sz w:val="24"/>
          <w:szCs w:val="24"/>
        </w:rPr>
        <w:t>、氨氮、总氮、总磷</w:t>
      </w:r>
      <w:r w:rsidRPr="004A20EE">
        <w:rPr>
          <w:sz w:val="24"/>
          <w:szCs w:val="24"/>
        </w:rPr>
        <w:t>6</w:t>
      </w:r>
      <w:r w:rsidRPr="004A20EE">
        <w:rPr>
          <w:sz w:val="24"/>
          <w:szCs w:val="24"/>
        </w:rPr>
        <w:t>类在线自动监控装置；</w:t>
      </w:r>
      <w:r w:rsidRPr="004A20EE">
        <w:rPr>
          <w:sz w:val="24"/>
          <w:szCs w:val="24"/>
        </w:rPr>
        <w:t>RTO</w:t>
      </w:r>
      <w:r w:rsidRPr="004A20EE">
        <w:rPr>
          <w:sz w:val="24"/>
          <w:szCs w:val="24"/>
        </w:rPr>
        <w:t>装置设置有</w:t>
      </w:r>
      <w:r w:rsidRPr="004A20EE">
        <w:rPr>
          <w:sz w:val="24"/>
          <w:szCs w:val="24"/>
        </w:rPr>
        <w:t>VOCs</w:t>
      </w:r>
      <w:r w:rsidRPr="004A20EE">
        <w:rPr>
          <w:sz w:val="24"/>
          <w:szCs w:val="24"/>
        </w:rPr>
        <w:t>、</w:t>
      </w:r>
      <w:r w:rsidRPr="004A20EE">
        <w:rPr>
          <w:sz w:val="24"/>
          <w:szCs w:val="24"/>
        </w:rPr>
        <w:t>NO</w:t>
      </w:r>
      <w:r w:rsidRPr="004A20EE">
        <w:rPr>
          <w:sz w:val="24"/>
          <w:szCs w:val="24"/>
          <w:vertAlign w:val="subscript"/>
        </w:rPr>
        <w:t>X</w:t>
      </w:r>
      <w:r w:rsidRPr="004A20EE">
        <w:rPr>
          <w:sz w:val="24"/>
          <w:szCs w:val="24"/>
        </w:rPr>
        <w:t>、</w:t>
      </w:r>
      <w:r w:rsidRPr="004A20EE">
        <w:rPr>
          <w:sz w:val="24"/>
          <w:szCs w:val="24"/>
        </w:rPr>
        <w:t>SO</w:t>
      </w:r>
      <w:r w:rsidRPr="004A20EE">
        <w:rPr>
          <w:sz w:val="24"/>
          <w:szCs w:val="24"/>
          <w:vertAlign w:val="subscript"/>
        </w:rPr>
        <w:t>2</w:t>
      </w:r>
      <w:r w:rsidRPr="004A20EE">
        <w:rPr>
          <w:sz w:val="24"/>
          <w:szCs w:val="24"/>
        </w:rPr>
        <w:t>、颗粒物、温度、含氧量等</w:t>
      </w:r>
      <w:r w:rsidRPr="004A20EE">
        <w:rPr>
          <w:sz w:val="24"/>
          <w:szCs w:val="24"/>
        </w:rPr>
        <w:t>6</w:t>
      </w:r>
      <w:r w:rsidRPr="004A20EE">
        <w:rPr>
          <w:sz w:val="24"/>
          <w:szCs w:val="24"/>
        </w:rPr>
        <w:t>类在线自动监控装置。</w:t>
      </w:r>
      <w:r w:rsidR="0075379B" w:rsidRPr="004A20EE">
        <w:rPr>
          <w:rFonts w:hint="eastAsia"/>
          <w:sz w:val="24"/>
          <w:szCs w:val="24"/>
        </w:rPr>
        <w:t>根据现场检查情况，目前</w:t>
      </w:r>
      <w:r w:rsidR="0075379B" w:rsidRPr="004A20EE">
        <w:rPr>
          <w:sz w:val="24"/>
          <w:szCs w:val="24"/>
        </w:rPr>
        <w:t>氯化氢、氯</w:t>
      </w:r>
      <w:r w:rsidR="0075379B" w:rsidRPr="004A20EE">
        <w:rPr>
          <w:rFonts w:hint="eastAsia"/>
          <w:sz w:val="24"/>
          <w:szCs w:val="24"/>
        </w:rPr>
        <w:t>的在线监测装置暂时技术不成熟，暂未安装在线监测装置。</w:t>
      </w:r>
    </w:p>
    <w:p w14:paraId="7104C990" w14:textId="77777777" w:rsidR="00B13E35" w:rsidRPr="004A20EE" w:rsidRDefault="00B13E35" w:rsidP="00540FD0">
      <w:pPr>
        <w:adjustRightInd w:val="0"/>
        <w:snapToGrid w:val="0"/>
        <w:spacing w:line="490" w:lineRule="exact"/>
        <w:ind w:firstLineChars="200" w:firstLine="482"/>
        <w:rPr>
          <w:b/>
          <w:sz w:val="24"/>
          <w:szCs w:val="24"/>
        </w:rPr>
      </w:pPr>
      <w:r w:rsidRPr="004A20EE">
        <w:rPr>
          <w:b/>
          <w:sz w:val="24"/>
          <w:szCs w:val="24"/>
        </w:rPr>
        <w:t>（</w:t>
      </w:r>
      <w:r w:rsidRPr="004A20EE">
        <w:rPr>
          <w:b/>
          <w:sz w:val="24"/>
          <w:szCs w:val="24"/>
        </w:rPr>
        <w:t>3</w:t>
      </w:r>
      <w:r w:rsidRPr="004A20EE">
        <w:rPr>
          <w:b/>
          <w:sz w:val="24"/>
          <w:szCs w:val="24"/>
        </w:rPr>
        <w:t>）防护距离</w:t>
      </w:r>
    </w:p>
    <w:p w14:paraId="5FB58FEC" w14:textId="77777777" w:rsidR="00B13E35" w:rsidRPr="004A20EE" w:rsidRDefault="00B13E35" w:rsidP="00540FD0">
      <w:pPr>
        <w:adjustRightInd w:val="0"/>
        <w:snapToGrid w:val="0"/>
        <w:spacing w:line="490" w:lineRule="exact"/>
        <w:ind w:firstLineChars="200" w:firstLine="482"/>
        <w:rPr>
          <w:b/>
          <w:sz w:val="24"/>
          <w:szCs w:val="24"/>
        </w:rPr>
      </w:pPr>
      <w:r w:rsidRPr="004A20EE">
        <w:rPr>
          <w:b/>
          <w:sz w:val="24"/>
          <w:szCs w:val="24"/>
        </w:rPr>
        <w:t>1</w:t>
      </w:r>
      <w:r w:rsidRPr="004A20EE">
        <w:rPr>
          <w:b/>
          <w:sz w:val="24"/>
          <w:szCs w:val="24"/>
        </w:rPr>
        <w:t>、环评要求：</w:t>
      </w:r>
    </w:p>
    <w:p w14:paraId="535F3F41" w14:textId="77777777" w:rsidR="00223908" w:rsidRPr="004A20EE" w:rsidRDefault="00223908" w:rsidP="007F3BA8">
      <w:pPr>
        <w:adjustRightInd w:val="0"/>
        <w:snapToGrid w:val="0"/>
        <w:spacing w:line="490" w:lineRule="exact"/>
        <w:ind w:firstLineChars="200" w:firstLine="480"/>
        <w:rPr>
          <w:sz w:val="24"/>
          <w:szCs w:val="24"/>
        </w:rPr>
      </w:pPr>
      <w:r w:rsidRPr="004A20EE">
        <w:rPr>
          <w:sz w:val="24"/>
          <w:szCs w:val="24"/>
        </w:rPr>
        <w:t>项目建成后，全厂大气卫生防护距离设置为南厂区南厂界外</w:t>
      </w:r>
      <w:r w:rsidRPr="004A20EE">
        <w:rPr>
          <w:sz w:val="24"/>
          <w:szCs w:val="24"/>
        </w:rPr>
        <w:t>320m</w:t>
      </w:r>
      <w:r w:rsidRPr="004A20EE">
        <w:rPr>
          <w:sz w:val="24"/>
          <w:szCs w:val="24"/>
        </w:rPr>
        <w:t>，南长区西厂界外</w:t>
      </w:r>
      <w:r w:rsidRPr="004A20EE">
        <w:rPr>
          <w:sz w:val="24"/>
          <w:szCs w:val="24"/>
        </w:rPr>
        <w:t>220m</w:t>
      </w:r>
      <w:r w:rsidRPr="004A20EE">
        <w:rPr>
          <w:sz w:val="24"/>
          <w:szCs w:val="24"/>
        </w:rPr>
        <w:t>，南厂区东厂界外</w:t>
      </w:r>
      <w:r w:rsidRPr="004A20EE">
        <w:rPr>
          <w:sz w:val="24"/>
          <w:szCs w:val="24"/>
        </w:rPr>
        <w:t>380m</w:t>
      </w:r>
      <w:r w:rsidRPr="004A20EE">
        <w:rPr>
          <w:sz w:val="24"/>
          <w:szCs w:val="24"/>
        </w:rPr>
        <w:t>，北厂区东、西、北厂界外</w:t>
      </w:r>
      <w:r w:rsidRPr="004A20EE">
        <w:rPr>
          <w:sz w:val="24"/>
          <w:szCs w:val="24"/>
        </w:rPr>
        <w:t>200m</w:t>
      </w:r>
      <w:r w:rsidRPr="004A20EE">
        <w:rPr>
          <w:sz w:val="24"/>
          <w:szCs w:val="24"/>
        </w:rPr>
        <w:t>。目前，该公司南、北厂区大气卫生距离范围内无居民、医院和学校等环境敏感目标，今后在此距离内也不得规划建设居民区、医院、学校等敏感保护目标。</w:t>
      </w:r>
    </w:p>
    <w:p w14:paraId="684F16BA" w14:textId="77777777" w:rsidR="004A20EE" w:rsidRPr="004A20EE" w:rsidRDefault="004A20EE" w:rsidP="00540FD0">
      <w:pPr>
        <w:adjustRightInd w:val="0"/>
        <w:snapToGrid w:val="0"/>
        <w:spacing w:line="490" w:lineRule="exact"/>
        <w:ind w:firstLineChars="200" w:firstLine="482"/>
        <w:rPr>
          <w:b/>
          <w:sz w:val="24"/>
          <w:szCs w:val="24"/>
        </w:rPr>
      </w:pPr>
    </w:p>
    <w:p w14:paraId="080A7762" w14:textId="5A040C0C" w:rsidR="00B13E35" w:rsidRPr="004A20EE" w:rsidRDefault="00B13E35" w:rsidP="00540FD0">
      <w:pPr>
        <w:adjustRightInd w:val="0"/>
        <w:snapToGrid w:val="0"/>
        <w:spacing w:line="490" w:lineRule="exact"/>
        <w:ind w:firstLineChars="200" w:firstLine="482"/>
        <w:rPr>
          <w:b/>
          <w:sz w:val="24"/>
          <w:szCs w:val="24"/>
        </w:rPr>
      </w:pPr>
      <w:r w:rsidRPr="004A20EE">
        <w:rPr>
          <w:b/>
          <w:sz w:val="24"/>
          <w:szCs w:val="24"/>
        </w:rPr>
        <w:lastRenderedPageBreak/>
        <w:t>2</w:t>
      </w:r>
      <w:r w:rsidRPr="004A20EE">
        <w:rPr>
          <w:b/>
          <w:sz w:val="24"/>
          <w:szCs w:val="24"/>
        </w:rPr>
        <w:t>、实际建设情况：</w:t>
      </w:r>
    </w:p>
    <w:p w14:paraId="1492AB1E" w14:textId="77777777" w:rsidR="00223908" w:rsidRPr="004A20EE" w:rsidRDefault="00223908" w:rsidP="00540FD0">
      <w:pPr>
        <w:adjustRightInd w:val="0"/>
        <w:snapToGrid w:val="0"/>
        <w:spacing w:line="490" w:lineRule="exact"/>
        <w:ind w:firstLineChars="200" w:firstLine="480"/>
        <w:rPr>
          <w:sz w:val="24"/>
          <w:szCs w:val="24"/>
        </w:rPr>
      </w:pPr>
      <w:r w:rsidRPr="004A20EE">
        <w:rPr>
          <w:sz w:val="24"/>
          <w:szCs w:val="24"/>
        </w:rPr>
        <w:t>经现场调查核实，江苏维尤纳特精细化工有限公司卫生防护距离内不存在环境保护目标。</w:t>
      </w:r>
    </w:p>
    <w:p w14:paraId="59BB606F" w14:textId="77777777" w:rsidR="00B13E35" w:rsidRPr="004A20EE" w:rsidRDefault="00B13E35" w:rsidP="00540FD0">
      <w:pPr>
        <w:adjustRightInd w:val="0"/>
        <w:snapToGrid w:val="0"/>
        <w:spacing w:line="490" w:lineRule="exact"/>
        <w:ind w:firstLineChars="200" w:firstLine="482"/>
        <w:rPr>
          <w:b/>
          <w:sz w:val="24"/>
          <w:szCs w:val="24"/>
        </w:rPr>
      </w:pPr>
      <w:r w:rsidRPr="004A20EE">
        <w:rPr>
          <w:b/>
          <w:sz w:val="24"/>
          <w:szCs w:val="24"/>
        </w:rPr>
        <w:t>（</w:t>
      </w:r>
      <w:r w:rsidRPr="004A20EE">
        <w:rPr>
          <w:b/>
          <w:sz w:val="24"/>
          <w:szCs w:val="24"/>
        </w:rPr>
        <w:t>4</w:t>
      </w:r>
      <w:r w:rsidRPr="004A20EE">
        <w:rPr>
          <w:b/>
          <w:sz w:val="24"/>
          <w:szCs w:val="24"/>
        </w:rPr>
        <w:t>）其他设施</w:t>
      </w:r>
    </w:p>
    <w:p w14:paraId="046F678E" w14:textId="77777777" w:rsidR="00B13E35" w:rsidRPr="004A20EE" w:rsidRDefault="00B13E35" w:rsidP="00540FD0">
      <w:pPr>
        <w:adjustRightInd w:val="0"/>
        <w:snapToGrid w:val="0"/>
        <w:spacing w:line="490" w:lineRule="exact"/>
        <w:ind w:firstLineChars="200" w:firstLine="482"/>
        <w:rPr>
          <w:b/>
          <w:sz w:val="24"/>
          <w:szCs w:val="24"/>
        </w:rPr>
      </w:pPr>
      <w:r w:rsidRPr="004A20EE">
        <w:rPr>
          <w:b/>
          <w:sz w:val="24"/>
          <w:szCs w:val="24"/>
        </w:rPr>
        <w:t>1</w:t>
      </w:r>
      <w:r w:rsidRPr="004A20EE">
        <w:rPr>
          <w:b/>
          <w:sz w:val="24"/>
          <w:szCs w:val="24"/>
        </w:rPr>
        <w:t>、环评要求：</w:t>
      </w:r>
    </w:p>
    <w:p w14:paraId="40E47546" w14:textId="77777777" w:rsidR="00B13E35" w:rsidRPr="004A20EE" w:rsidRDefault="007F3BA8" w:rsidP="00540FD0">
      <w:pPr>
        <w:adjustRightInd w:val="0"/>
        <w:snapToGrid w:val="0"/>
        <w:spacing w:line="490" w:lineRule="exact"/>
        <w:ind w:firstLineChars="200" w:firstLine="480"/>
        <w:rPr>
          <w:sz w:val="24"/>
          <w:szCs w:val="24"/>
        </w:rPr>
      </w:pPr>
      <w:r w:rsidRPr="004A20EE">
        <w:rPr>
          <w:rFonts w:hint="eastAsia"/>
          <w:sz w:val="24"/>
          <w:szCs w:val="24"/>
        </w:rPr>
        <w:t>按环境保护部《关于印发</w:t>
      </w:r>
      <w:r w:rsidRPr="004A20EE">
        <w:rPr>
          <w:rFonts w:hint="eastAsia"/>
          <w:sz w:val="24"/>
          <w:szCs w:val="24"/>
        </w:rPr>
        <w:t>&lt;</w:t>
      </w:r>
      <w:r w:rsidRPr="004A20EE">
        <w:rPr>
          <w:rFonts w:hint="eastAsia"/>
          <w:sz w:val="24"/>
          <w:szCs w:val="24"/>
        </w:rPr>
        <w:t>建设项目环境保护事中事后监督管理办法（试行）</w:t>
      </w:r>
      <w:r w:rsidRPr="004A20EE">
        <w:rPr>
          <w:sz w:val="24"/>
          <w:szCs w:val="24"/>
        </w:rPr>
        <w:t>&gt;</w:t>
      </w:r>
      <w:r w:rsidRPr="004A20EE">
        <w:rPr>
          <w:sz w:val="24"/>
          <w:szCs w:val="24"/>
        </w:rPr>
        <w:t>的通知</w:t>
      </w:r>
      <w:r w:rsidRPr="004A20EE">
        <w:rPr>
          <w:rFonts w:hint="eastAsia"/>
          <w:sz w:val="24"/>
          <w:szCs w:val="24"/>
        </w:rPr>
        <w:t>》（环发（</w:t>
      </w:r>
      <w:r w:rsidRPr="004A20EE">
        <w:rPr>
          <w:rFonts w:hint="eastAsia"/>
          <w:sz w:val="24"/>
          <w:szCs w:val="24"/>
        </w:rPr>
        <w:t>2</w:t>
      </w:r>
      <w:r w:rsidRPr="004A20EE">
        <w:rPr>
          <w:sz w:val="24"/>
          <w:szCs w:val="24"/>
        </w:rPr>
        <w:t>015</w:t>
      </w:r>
      <w:r w:rsidRPr="004A20EE">
        <w:rPr>
          <w:rFonts w:hint="eastAsia"/>
          <w:sz w:val="24"/>
          <w:szCs w:val="24"/>
        </w:rPr>
        <w:t>）</w:t>
      </w:r>
      <w:r w:rsidRPr="004A20EE">
        <w:rPr>
          <w:rFonts w:hint="eastAsia"/>
          <w:sz w:val="24"/>
          <w:szCs w:val="24"/>
        </w:rPr>
        <w:t>1</w:t>
      </w:r>
      <w:r w:rsidRPr="004A20EE">
        <w:rPr>
          <w:sz w:val="24"/>
          <w:szCs w:val="24"/>
        </w:rPr>
        <w:t>63</w:t>
      </w:r>
      <w:r w:rsidRPr="004A20EE">
        <w:rPr>
          <w:sz w:val="24"/>
          <w:szCs w:val="24"/>
        </w:rPr>
        <w:t>号</w:t>
      </w:r>
      <w:r w:rsidRPr="004A20EE">
        <w:rPr>
          <w:rFonts w:hint="eastAsia"/>
          <w:sz w:val="24"/>
          <w:szCs w:val="24"/>
        </w:rPr>
        <w:t>）及我省有关管理规定的要求，</w:t>
      </w:r>
      <w:r w:rsidR="006C148A" w:rsidRPr="004A20EE">
        <w:rPr>
          <w:sz w:val="24"/>
          <w:szCs w:val="24"/>
        </w:rPr>
        <w:t>本项目一期工程</w:t>
      </w:r>
      <w:r w:rsidR="00B13E35" w:rsidRPr="004A20EE">
        <w:rPr>
          <w:sz w:val="24"/>
          <w:szCs w:val="24"/>
        </w:rPr>
        <w:t>须开展</w:t>
      </w:r>
      <w:r w:rsidRPr="004A20EE">
        <w:rPr>
          <w:sz w:val="24"/>
          <w:szCs w:val="24"/>
        </w:rPr>
        <w:t>环境监理</w:t>
      </w:r>
      <w:r w:rsidR="00B13E35" w:rsidRPr="004A20EE">
        <w:rPr>
          <w:sz w:val="24"/>
          <w:szCs w:val="24"/>
        </w:rPr>
        <w:t>工作。</w:t>
      </w:r>
    </w:p>
    <w:p w14:paraId="1773CB3C" w14:textId="77777777" w:rsidR="00B13E35" w:rsidRPr="004A20EE" w:rsidRDefault="00B13E35" w:rsidP="00540FD0">
      <w:pPr>
        <w:adjustRightInd w:val="0"/>
        <w:snapToGrid w:val="0"/>
        <w:spacing w:line="490" w:lineRule="exact"/>
        <w:ind w:firstLineChars="200" w:firstLine="482"/>
        <w:rPr>
          <w:b/>
          <w:sz w:val="24"/>
          <w:szCs w:val="24"/>
        </w:rPr>
      </w:pPr>
      <w:r w:rsidRPr="004A20EE">
        <w:rPr>
          <w:b/>
          <w:sz w:val="24"/>
          <w:szCs w:val="24"/>
        </w:rPr>
        <w:t>2</w:t>
      </w:r>
      <w:r w:rsidRPr="004A20EE">
        <w:rPr>
          <w:b/>
          <w:sz w:val="24"/>
          <w:szCs w:val="24"/>
        </w:rPr>
        <w:t>、实际建设情况：</w:t>
      </w:r>
    </w:p>
    <w:p w14:paraId="5048773E" w14:textId="77777777" w:rsidR="00B13E35" w:rsidRPr="004A20EE" w:rsidRDefault="007F3BA8" w:rsidP="00540FD0">
      <w:pPr>
        <w:adjustRightInd w:val="0"/>
        <w:snapToGrid w:val="0"/>
        <w:spacing w:line="490" w:lineRule="exact"/>
        <w:ind w:firstLineChars="200" w:firstLine="480"/>
        <w:rPr>
          <w:sz w:val="24"/>
          <w:szCs w:val="24"/>
        </w:rPr>
      </w:pPr>
      <w:r w:rsidRPr="004A20EE">
        <w:rPr>
          <w:rFonts w:hint="eastAsia"/>
          <w:sz w:val="24"/>
          <w:szCs w:val="24"/>
        </w:rPr>
        <w:t>江苏维尤纳特精细化工有限公司</w:t>
      </w:r>
      <w:r w:rsidR="00B13E35" w:rsidRPr="004A20EE">
        <w:rPr>
          <w:sz w:val="24"/>
          <w:szCs w:val="24"/>
        </w:rPr>
        <w:t>于</w:t>
      </w:r>
      <w:r w:rsidR="00B13E35" w:rsidRPr="004A20EE">
        <w:rPr>
          <w:sz w:val="24"/>
          <w:szCs w:val="24"/>
        </w:rPr>
        <w:t>201</w:t>
      </w:r>
      <w:r w:rsidRPr="004A20EE">
        <w:rPr>
          <w:sz w:val="24"/>
          <w:szCs w:val="24"/>
        </w:rPr>
        <w:t>7</w:t>
      </w:r>
      <w:r w:rsidR="00B13E35" w:rsidRPr="004A20EE">
        <w:rPr>
          <w:sz w:val="24"/>
          <w:szCs w:val="24"/>
        </w:rPr>
        <w:t>年</w:t>
      </w:r>
      <w:r w:rsidRPr="004A20EE">
        <w:rPr>
          <w:rFonts w:hint="eastAsia"/>
          <w:sz w:val="24"/>
          <w:szCs w:val="24"/>
        </w:rPr>
        <w:t>5</w:t>
      </w:r>
      <w:r w:rsidRPr="004A20EE">
        <w:rPr>
          <w:rFonts w:hint="eastAsia"/>
          <w:sz w:val="24"/>
          <w:szCs w:val="24"/>
        </w:rPr>
        <w:t>月</w:t>
      </w:r>
      <w:r w:rsidR="00B13E35" w:rsidRPr="004A20EE">
        <w:rPr>
          <w:sz w:val="24"/>
          <w:szCs w:val="24"/>
        </w:rPr>
        <w:t>与江苏方正环保设计研究有限公司签订了环境监理服务技术合同，环境监理单位已提交《设计及施工阶段环境监理报告》和《环境监理总报告》。</w:t>
      </w:r>
    </w:p>
    <w:p w14:paraId="6CD3ECE1" w14:textId="70B47D21" w:rsidR="00071842" w:rsidRPr="004A20EE" w:rsidRDefault="00D725E0" w:rsidP="00540FD0">
      <w:pPr>
        <w:adjustRightInd w:val="0"/>
        <w:snapToGrid w:val="0"/>
        <w:spacing w:line="490" w:lineRule="exact"/>
        <w:ind w:firstLineChars="200" w:firstLine="482"/>
        <w:rPr>
          <w:sz w:val="24"/>
          <w:szCs w:val="32"/>
        </w:rPr>
      </w:pPr>
      <w:r w:rsidRPr="004A20EE">
        <w:rPr>
          <w:rFonts w:hint="eastAsia"/>
          <w:b/>
          <w:sz w:val="24"/>
        </w:rPr>
        <w:t>四</w:t>
      </w:r>
      <w:r w:rsidR="00071842" w:rsidRPr="004A20EE">
        <w:rPr>
          <w:b/>
          <w:sz w:val="24"/>
        </w:rPr>
        <w:t>、工程建设对环境的影响</w:t>
      </w:r>
    </w:p>
    <w:p w14:paraId="19335AEB" w14:textId="4D7320A0" w:rsidR="00071842" w:rsidRPr="004A20EE" w:rsidRDefault="006C148A" w:rsidP="006C148A">
      <w:pPr>
        <w:adjustRightInd w:val="0"/>
        <w:snapToGrid w:val="0"/>
        <w:spacing w:line="500" w:lineRule="exact"/>
        <w:ind w:firstLineChars="200" w:firstLine="480"/>
        <w:rPr>
          <w:sz w:val="24"/>
          <w:szCs w:val="32"/>
        </w:rPr>
      </w:pPr>
      <w:r w:rsidRPr="004A20EE">
        <w:rPr>
          <w:sz w:val="24"/>
        </w:rPr>
        <w:t>本项目一期工程</w:t>
      </w:r>
      <w:r w:rsidR="00071842" w:rsidRPr="004A20EE">
        <w:rPr>
          <w:sz w:val="24"/>
        </w:rPr>
        <w:t>建设规模、地点、采用的生产工艺和防治污染的措施均未发生重大变动</w:t>
      </w:r>
      <w:r w:rsidRPr="004A20EE">
        <w:rPr>
          <w:rFonts w:hint="eastAsia"/>
          <w:sz w:val="24"/>
        </w:rPr>
        <w:t>；</w:t>
      </w:r>
      <w:r w:rsidRPr="004A20EE">
        <w:rPr>
          <w:sz w:val="24"/>
        </w:rPr>
        <w:t>本项目一期</w:t>
      </w:r>
      <w:r w:rsidR="002069AB" w:rsidRPr="004A20EE">
        <w:rPr>
          <w:sz w:val="24"/>
        </w:rPr>
        <w:t>工程</w:t>
      </w:r>
      <w:r w:rsidR="002069AB">
        <w:rPr>
          <w:rFonts w:hint="eastAsia"/>
          <w:sz w:val="24"/>
        </w:rPr>
        <w:t>的</w:t>
      </w:r>
      <w:r w:rsidR="00D725E0" w:rsidRPr="004A20EE">
        <w:rPr>
          <w:rFonts w:hint="eastAsia"/>
          <w:sz w:val="24"/>
        </w:rPr>
        <w:t>固体废物</w:t>
      </w:r>
      <w:r w:rsidRPr="004A20EE">
        <w:rPr>
          <w:rFonts w:hint="eastAsia"/>
          <w:sz w:val="24"/>
          <w:szCs w:val="32"/>
        </w:rPr>
        <w:t>污染防治设施</w:t>
      </w:r>
      <w:r w:rsidR="002069AB">
        <w:rPr>
          <w:rFonts w:hint="eastAsia"/>
          <w:sz w:val="24"/>
          <w:szCs w:val="32"/>
        </w:rPr>
        <w:t>已</w:t>
      </w:r>
      <w:r w:rsidRPr="004A20EE">
        <w:rPr>
          <w:rFonts w:hint="eastAsia"/>
          <w:sz w:val="24"/>
          <w:szCs w:val="32"/>
        </w:rPr>
        <w:t>按环评及批复文件落实，</w:t>
      </w:r>
      <w:r w:rsidRPr="004A20EE">
        <w:rPr>
          <w:sz w:val="24"/>
        </w:rPr>
        <w:t>本项目一期工程</w:t>
      </w:r>
      <w:r w:rsidR="00071842" w:rsidRPr="004A20EE">
        <w:rPr>
          <w:sz w:val="24"/>
        </w:rPr>
        <w:t>（</w:t>
      </w:r>
      <w:bookmarkStart w:id="1" w:name="_Hlk50024054"/>
      <w:r w:rsidR="00D725E0" w:rsidRPr="004A20EE">
        <w:rPr>
          <w:rFonts w:hint="eastAsia"/>
          <w:sz w:val="24"/>
        </w:rPr>
        <w:t>固体废物部分</w:t>
      </w:r>
      <w:bookmarkEnd w:id="1"/>
      <w:r w:rsidR="00071842" w:rsidRPr="004A20EE">
        <w:rPr>
          <w:sz w:val="24"/>
        </w:rPr>
        <w:t>）对周边环境影响较小。</w:t>
      </w:r>
    </w:p>
    <w:p w14:paraId="6233A17E" w14:textId="58F77296" w:rsidR="00A76165" w:rsidRPr="004A20EE" w:rsidRDefault="00D725E0" w:rsidP="00540FD0">
      <w:pPr>
        <w:adjustRightInd w:val="0"/>
        <w:snapToGrid w:val="0"/>
        <w:spacing w:line="490" w:lineRule="exact"/>
        <w:ind w:firstLineChars="200" w:firstLine="482"/>
        <w:rPr>
          <w:b/>
          <w:sz w:val="24"/>
          <w:szCs w:val="24"/>
        </w:rPr>
      </w:pPr>
      <w:r w:rsidRPr="004A20EE">
        <w:rPr>
          <w:rFonts w:hint="eastAsia"/>
          <w:b/>
          <w:sz w:val="24"/>
          <w:szCs w:val="24"/>
        </w:rPr>
        <w:t>五</w:t>
      </w:r>
      <w:r w:rsidR="00071842" w:rsidRPr="004A20EE">
        <w:rPr>
          <w:b/>
          <w:sz w:val="24"/>
          <w:szCs w:val="24"/>
        </w:rPr>
        <w:t>、验收结论</w:t>
      </w:r>
    </w:p>
    <w:p w14:paraId="71C73A7C" w14:textId="296DCE20" w:rsidR="00071842" w:rsidRPr="004A20EE" w:rsidRDefault="00071842" w:rsidP="00540FD0">
      <w:pPr>
        <w:adjustRightInd w:val="0"/>
        <w:snapToGrid w:val="0"/>
        <w:spacing w:line="490" w:lineRule="exact"/>
        <w:ind w:firstLineChars="200" w:firstLine="480"/>
        <w:rPr>
          <w:sz w:val="24"/>
        </w:rPr>
      </w:pPr>
      <w:r w:rsidRPr="004A20EE">
        <w:rPr>
          <w:sz w:val="24"/>
        </w:rPr>
        <w:t>验收组认为：</w:t>
      </w:r>
      <w:r w:rsidR="0075379B" w:rsidRPr="004A20EE">
        <w:rPr>
          <w:rFonts w:hint="eastAsia"/>
          <w:b/>
          <w:bCs/>
          <w:sz w:val="24"/>
        </w:rPr>
        <w:t>江苏维尤纳特精细化工有限公司年产</w:t>
      </w:r>
      <w:r w:rsidR="0075379B" w:rsidRPr="004A20EE">
        <w:rPr>
          <w:rFonts w:hint="eastAsia"/>
          <w:b/>
          <w:bCs/>
          <w:sz w:val="24"/>
        </w:rPr>
        <w:t>3000</w:t>
      </w:r>
      <w:r w:rsidR="0075379B" w:rsidRPr="004A20EE">
        <w:rPr>
          <w:rFonts w:hint="eastAsia"/>
          <w:b/>
          <w:bCs/>
          <w:sz w:val="24"/>
        </w:rPr>
        <w:t>吨氯氰基苯、</w:t>
      </w:r>
      <w:r w:rsidR="0075379B" w:rsidRPr="004A20EE">
        <w:rPr>
          <w:rFonts w:hint="eastAsia"/>
          <w:b/>
          <w:bCs/>
          <w:sz w:val="24"/>
        </w:rPr>
        <w:t>2000</w:t>
      </w:r>
      <w:r w:rsidR="0075379B" w:rsidRPr="004A20EE">
        <w:rPr>
          <w:rFonts w:hint="eastAsia"/>
          <w:b/>
          <w:bCs/>
          <w:sz w:val="24"/>
        </w:rPr>
        <w:t>吨氰基苯、</w:t>
      </w:r>
      <w:r w:rsidR="0075379B" w:rsidRPr="004A20EE">
        <w:rPr>
          <w:rFonts w:hint="eastAsia"/>
          <w:b/>
          <w:bCs/>
          <w:sz w:val="24"/>
        </w:rPr>
        <w:t>2000</w:t>
      </w:r>
      <w:r w:rsidR="0075379B" w:rsidRPr="004A20EE">
        <w:rPr>
          <w:rFonts w:hint="eastAsia"/>
          <w:b/>
          <w:bCs/>
          <w:sz w:val="24"/>
        </w:rPr>
        <w:t>吨苯并胍胺、</w:t>
      </w:r>
      <w:r w:rsidR="0075379B" w:rsidRPr="004A20EE">
        <w:rPr>
          <w:rFonts w:hint="eastAsia"/>
          <w:b/>
          <w:bCs/>
          <w:sz w:val="24"/>
        </w:rPr>
        <w:t>500</w:t>
      </w:r>
      <w:r w:rsidR="0075379B" w:rsidRPr="004A20EE">
        <w:rPr>
          <w:rFonts w:hint="eastAsia"/>
          <w:b/>
          <w:bCs/>
          <w:sz w:val="24"/>
        </w:rPr>
        <w:t>吨氯酞酸二甲酯、</w:t>
      </w:r>
      <w:r w:rsidR="0075379B" w:rsidRPr="004A20EE">
        <w:rPr>
          <w:rFonts w:hint="eastAsia"/>
          <w:b/>
          <w:bCs/>
          <w:sz w:val="24"/>
        </w:rPr>
        <w:t>200</w:t>
      </w:r>
      <w:r w:rsidR="0075379B" w:rsidRPr="004A20EE">
        <w:rPr>
          <w:rFonts w:hint="eastAsia"/>
          <w:b/>
          <w:bCs/>
          <w:sz w:val="24"/>
        </w:rPr>
        <w:t>吨四氟苯菊酯、</w:t>
      </w:r>
      <w:r w:rsidR="0075379B" w:rsidRPr="004A20EE">
        <w:rPr>
          <w:rFonts w:hint="eastAsia"/>
          <w:b/>
          <w:bCs/>
          <w:sz w:val="24"/>
        </w:rPr>
        <w:t>200</w:t>
      </w:r>
      <w:r w:rsidR="0075379B" w:rsidRPr="004A20EE">
        <w:rPr>
          <w:rFonts w:hint="eastAsia"/>
          <w:b/>
          <w:bCs/>
          <w:sz w:val="24"/>
        </w:rPr>
        <w:t>吨嘧菌酯、</w:t>
      </w:r>
      <w:r w:rsidR="0075379B" w:rsidRPr="004A20EE">
        <w:rPr>
          <w:rFonts w:hint="eastAsia"/>
          <w:b/>
          <w:bCs/>
          <w:sz w:val="24"/>
        </w:rPr>
        <w:t>500</w:t>
      </w:r>
      <w:r w:rsidR="0075379B" w:rsidRPr="004A20EE">
        <w:rPr>
          <w:rFonts w:hint="eastAsia"/>
          <w:b/>
          <w:bCs/>
          <w:sz w:val="24"/>
        </w:rPr>
        <w:t>吨苯达松技改项目（一期工程）（</w:t>
      </w:r>
      <w:r w:rsidR="00D725E0" w:rsidRPr="004A20EE">
        <w:rPr>
          <w:rFonts w:hint="eastAsia"/>
          <w:b/>
          <w:bCs/>
          <w:sz w:val="24"/>
        </w:rPr>
        <w:t>固体废物部分</w:t>
      </w:r>
      <w:r w:rsidR="0075379B" w:rsidRPr="004A20EE">
        <w:rPr>
          <w:rFonts w:hint="eastAsia"/>
          <w:b/>
          <w:bCs/>
          <w:sz w:val="24"/>
        </w:rPr>
        <w:t>）</w:t>
      </w:r>
      <w:r w:rsidR="00540FD0" w:rsidRPr="004A20EE">
        <w:rPr>
          <w:sz w:val="24"/>
        </w:rPr>
        <w:t>验收</w:t>
      </w:r>
      <w:r w:rsidRPr="004A20EE">
        <w:rPr>
          <w:sz w:val="24"/>
        </w:rPr>
        <w:t>程序、资料基本符合《建设项目竣工环境保护验收技术指南</w:t>
      </w:r>
      <w:r w:rsidRPr="004A20EE">
        <w:rPr>
          <w:sz w:val="24"/>
        </w:rPr>
        <w:t xml:space="preserve"> </w:t>
      </w:r>
      <w:r w:rsidRPr="004A20EE">
        <w:rPr>
          <w:sz w:val="24"/>
        </w:rPr>
        <w:t>污染影响类》（生态环保部公告，</w:t>
      </w:r>
      <w:r w:rsidRPr="004A20EE">
        <w:rPr>
          <w:sz w:val="24"/>
        </w:rPr>
        <w:t>2018</w:t>
      </w:r>
      <w:r w:rsidRPr="004A20EE">
        <w:rPr>
          <w:sz w:val="24"/>
        </w:rPr>
        <w:t>年第</w:t>
      </w:r>
      <w:r w:rsidRPr="004A20EE">
        <w:rPr>
          <w:sz w:val="24"/>
        </w:rPr>
        <w:t>9</w:t>
      </w:r>
      <w:r w:rsidRPr="004A20EE">
        <w:rPr>
          <w:sz w:val="24"/>
        </w:rPr>
        <w:t>号）等相关要求，同意通过竣工环境保护验收。</w:t>
      </w:r>
      <w:r w:rsidRPr="004A20EE">
        <w:rPr>
          <w:sz w:val="24"/>
        </w:rPr>
        <w:t xml:space="preserve"> </w:t>
      </w:r>
    </w:p>
    <w:p w14:paraId="00AA9B59" w14:textId="77777777" w:rsidR="00D725E0" w:rsidRPr="004A20EE" w:rsidRDefault="00D725E0" w:rsidP="00D725E0">
      <w:pPr>
        <w:pStyle w:val="2"/>
        <w:ind w:firstLine="640"/>
      </w:pPr>
    </w:p>
    <w:p w14:paraId="024E5F93" w14:textId="74896176" w:rsidR="006C148A" w:rsidRPr="004A20EE" w:rsidRDefault="00071842" w:rsidP="00D725E0">
      <w:pPr>
        <w:adjustRightInd w:val="0"/>
        <w:snapToGrid w:val="0"/>
        <w:spacing w:line="490" w:lineRule="exact"/>
        <w:ind w:firstLineChars="1600" w:firstLine="3855"/>
      </w:pPr>
      <w:r w:rsidRPr="004A20EE">
        <w:rPr>
          <w:b/>
          <w:bCs/>
          <w:sz w:val="24"/>
          <w:szCs w:val="24"/>
        </w:rPr>
        <w:t>验收组长：</w:t>
      </w:r>
      <w:r w:rsidRPr="004A20EE">
        <w:rPr>
          <w:b/>
          <w:bCs/>
          <w:sz w:val="24"/>
          <w:szCs w:val="24"/>
        </w:rPr>
        <w:t xml:space="preserve">              </w:t>
      </w:r>
    </w:p>
    <w:p w14:paraId="13B53CE8" w14:textId="556CE2C7" w:rsidR="005F4B4E" w:rsidRPr="004A20EE" w:rsidRDefault="006C148A" w:rsidP="006C148A">
      <w:pPr>
        <w:adjustRightInd w:val="0"/>
        <w:snapToGrid w:val="0"/>
        <w:spacing w:line="490" w:lineRule="exact"/>
        <w:ind w:firstLineChars="1600" w:firstLine="3855"/>
        <w:rPr>
          <w:b/>
          <w:bCs/>
          <w:sz w:val="24"/>
          <w:szCs w:val="24"/>
        </w:rPr>
      </w:pPr>
      <w:r w:rsidRPr="004A20EE">
        <w:rPr>
          <w:rFonts w:hint="eastAsia"/>
          <w:b/>
          <w:bCs/>
          <w:sz w:val="24"/>
          <w:szCs w:val="24"/>
        </w:rPr>
        <w:t>江苏维尤纳特精细化工有限公司</w:t>
      </w:r>
    </w:p>
    <w:p w14:paraId="2AEE5418" w14:textId="29602725" w:rsidR="00071842" w:rsidRPr="004A20EE" w:rsidRDefault="00071842" w:rsidP="00540FD0">
      <w:pPr>
        <w:adjustRightInd w:val="0"/>
        <w:snapToGrid w:val="0"/>
        <w:spacing w:line="490" w:lineRule="exact"/>
        <w:ind w:firstLine="200"/>
        <w:jc w:val="center"/>
        <w:rPr>
          <w:b/>
          <w:bCs/>
          <w:sz w:val="24"/>
          <w:szCs w:val="24"/>
        </w:rPr>
      </w:pPr>
      <w:r w:rsidRPr="004A20EE">
        <w:rPr>
          <w:b/>
          <w:bCs/>
          <w:sz w:val="24"/>
          <w:szCs w:val="24"/>
        </w:rPr>
        <w:t xml:space="preserve"> </w:t>
      </w:r>
      <w:r w:rsidR="005F4B4E" w:rsidRPr="004A20EE">
        <w:rPr>
          <w:b/>
          <w:bCs/>
          <w:sz w:val="24"/>
          <w:szCs w:val="24"/>
        </w:rPr>
        <w:t xml:space="preserve">                          </w:t>
      </w:r>
      <w:r w:rsidR="00540FD0" w:rsidRPr="004A20EE">
        <w:rPr>
          <w:b/>
          <w:bCs/>
          <w:sz w:val="24"/>
          <w:szCs w:val="24"/>
        </w:rPr>
        <w:t>20</w:t>
      </w:r>
      <w:r w:rsidR="00D725E0" w:rsidRPr="004A20EE">
        <w:rPr>
          <w:b/>
          <w:bCs/>
          <w:sz w:val="24"/>
          <w:szCs w:val="24"/>
        </w:rPr>
        <w:t>20</w:t>
      </w:r>
      <w:r w:rsidRPr="004A20EE">
        <w:rPr>
          <w:b/>
          <w:bCs/>
          <w:sz w:val="24"/>
          <w:szCs w:val="24"/>
        </w:rPr>
        <w:t>年</w:t>
      </w:r>
      <w:r w:rsidR="00D725E0" w:rsidRPr="004A20EE">
        <w:rPr>
          <w:b/>
          <w:bCs/>
          <w:sz w:val="24"/>
          <w:szCs w:val="24"/>
        </w:rPr>
        <w:t>9</w:t>
      </w:r>
      <w:r w:rsidRPr="004A20EE">
        <w:rPr>
          <w:b/>
          <w:bCs/>
          <w:sz w:val="24"/>
          <w:szCs w:val="24"/>
        </w:rPr>
        <w:t>月</w:t>
      </w:r>
      <w:r w:rsidR="00D725E0" w:rsidRPr="004A20EE">
        <w:rPr>
          <w:b/>
          <w:bCs/>
          <w:sz w:val="24"/>
          <w:szCs w:val="24"/>
        </w:rPr>
        <w:t>3</w:t>
      </w:r>
      <w:r w:rsidRPr="004A20EE">
        <w:rPr>
          <w:b/>
          <w:bCs/>
          <w:sz w:val="24"/>
          <w:szCs w:val="24"/>
        </w:rPr>
        <w:t>日</w:t>
      </w:r>
    </w:p>
    <w:p w14:paraId="68CA7BBF" w14:textId="54B76E91" w:rsidR="004A20EE" w:rsidRDefault="004A20EE" w:rsidP="004A20EE">
      <w:pPr>
        <w:pStyle w:val="2"/>
        <w:ind w:firstLine="640"/>
      </w:pPr>
    </w:p>
    <w:p w14:paraId="0B79E8D4" w14:textId="77777777" w:rsidR="002069AB" w:rsidRDefault="002069AB" w:rsidP="004A20EE">
      <w:pPr>
        <w:adjustRightInd w:val="0"/>
        <w:snapToGrid w:val="0"/>
        <w:spacing w:line="360" w:lineRule="auto"/>
        <w:jc w:val="center"/>
        <w:rPr>
          <w:b/>
          <w:bCs/>
          <w:sz w:val="32"/>
          <w:szCs w:val="32"/>
        </w:rPr>
      </w:pPr>
    </w:p>
    <w:p w14:paraId="531C709E" w14:textId="1EF72CAF" w:rsidR="00D725E0" w:rsidRPr="004A20EE" w:rsidRDefault="00D725E0" w:rsidP="004A20EE">
      <w:pPr>
        <w:adjustRightInd w:val="0"/>
        <w:snapToGrid w:val="0"/>
        <w:spacing w:line="360" w:lineRule="auto"/>
        <w:jc w:val="center"/>
        <w:rPr>
          <w:b/>
          <w:bCs/>
          <w:sz w:val="32"/>
          <w:szCs w:val="32"/>
        </w:rPr>
      </w:pPr>
      <w:r w:rsidRPr="004A20EE">
        <w:rPr>
          <w:b/>
          <w:bCs/>
          <w:sz w:val="32"/>
          <w:szCs w:val="32"/>
        </w:rPr>
        <w:lastRenderedPageBreak/>
        <w:t>江苏维尤纳特精细化工有限公司</w:t>
      </w:r>
    </w:p>
    <w:p w14:paraId="05195284" w14:textId="417C59B4" w:rsidR="00D725E0" w:rsidRPr="004A20EE" w:rsidRDefault="00D725E0" w:rsidP="004A20EE">
      <w:pPr>
        <w:adjustRightInd w:val="0"/>
        <w:snapToGrid w:val="0"/>
        <w:spacing w:line="360" w:lineRule="auto"/>
        <w:jc w:val="center"/>
        <w:rPr>
          <w:b/>
          <w:bCs/>
          <w:sz w:val="32"/>
          <w:szCs w:val="32"/>
        </w:rPr>
      </w:pPr>
      <w:r w:rsidRPr="004A20EE">
        <w:rPr>
          <w:b/>
          <w:bCs/>
          <w:sz w:val="32"/>
          <w:szCs w:val="32"/>
        </w:rPr>
        <w:t>年产</w:t>
      </w:r>
      <w:r w:rsidRPr="004A20EE">
        <w:rPr>
          <w:b/>
          <w:bCs/>
          <w:sz w:val="32"/>
          <w:szCs w:val="32"/>
        </w:rPr>
        <w:t>3000</w:t>
      </w:r>
      <w:r w:rsidRPr="004A20EE">
        <w:rPr>
          <w:b/>
          <w:bCs/>
          <w:sz w:val="32"/>
          <w:szCs w:val="32"/>
        </w:rPr>
        <w:t>吨氯氰基苯、</w:t>
      </w:r>
      <w:r w:rsidRPr="004A20EE">
        <w:rPr>
          <w:b/>
          <w:bCs/>
          <w:sz w:val="32"/>
          <w:szCs w:val="32"/>
        </w:rPr>
        <w:t>2000</w:t>
      </w:r>
      <w:r w:rsidRPr="004A20EE">
        <w:rPr>
          <w:b/>
          <w:bCs/>
          <w:sz w:val="32"/>
          <w:szCs w:val="32"/>
        </w:rPr>
        <w:t>吨氰基苯、</w:t>
      </w:r>
      <w:r w:rsidRPr="004A20EE">
        <w:rPr>
          <w:b/>
          <w:bCs/>
          <w:sz w:val="32"/>
          <w:szCs w:val="32"/>
        </w:rPr>
        <w:t>2000</w:t>
      </w:r>
      <w:r w:rsidRPr="004A20EE">
        <w:rPr>
          <w:b/>
          <w:bCs/>
          <w:sz w:val="32"/>
          <w:szCs w:val="32"/>
        </w:rPr>
        <w:t>吨苯并胍胺、</w:t>
      </w:r>
      <w:r w:rsidRPr="004A20EE">
        <w:rPr>
          <w:b/>
          <w:bCs/>
          <w:sz w:val="32"/>
          <w:szCs w:val="32"/>
        </w:rPr>
        <w:t>500</w:t>
      </w:r>
      <w:r w:rsidRPr="004A20EE">
        <w:rPr>
          <w:b/>
          <w:bCs/>
          <w:sz w:val="32"/>
          <w:szCs w:val="32"/>
        </w:rPr>
        <w:t>吨氯酞酸二甲酯、</w:t>
      </w:r>
      <w:r w:rsidRPr="004A20EE">
        <w:rPr>
          <w:b/>
          <w:bCs/>
          <w:sz w:val="32"/>
          <w:szCs w:val="32"/>
        </w:rPr>
        <w:t>200</w:t>
      </w:r>
      <w:r w:rsidRPr="004A20EE">
        <w:rPr>
          <w:b/>
          <w:bCs/>
          <w:sz w:val="32"/>
          <w:szCs w:val="32"/>
        </w:rPr>
        <w:t>吨四氟苯菊酯、</w:t>
      </w:r>
      <w:r w:rsidRPr="004A20EE">
        <w:rPr>
          <w:b/>
          <w:bCs/>
          <w:sz w:val="32"/>
          <w:szCs w:val="32"/>
        </w:rPr>
        <w:t>200</w:t>
      </w:r>
      <w:r w:rsidRPr="004A20EE">
        <w:rPr>
          <w:b/>
          <w:bCs/>
          <w:sz w:val="32"/>
          <w:szCs w:val="32"/>
        </w:rPr>
        <w:t>吨嘧菌酯、</w:t>
      </w:r>
      <w:r w:rsidRPr="004A20EE">
        <w:rPr>
          <w:b/>
          <w:bCs/>
          <w:sz w:val="32"/>
          <w:szCs w:val="32"/>
        </w:rPr>
        <w:t>500</w:t>
      </w:r>
      <w:r w:rsidRPr="004A20EE">
        <w:rPr>
          <w:b/>
          <w:bCs/>
          <w:sz w:val="32"/>
          <w:szCs w:val="32"/>
        </w:rPr>
        <w:t>吨苯达松技改项目（一期工程）（</w:t>
      </w:r>
      <w:r w:rsidRPr="004A20EE">
        <w:rPr>
          <w:rFonts w:hint="eastAsia"/>
          <w:b/>
          <w:bCs/>
          <w:sz w:val="32"/>
          <w:szCs w:val="32"/>
        </w:rPr>
        <w:t>固体废物部分</w:t>
      </w:r>
      <w:r w:rsidRPr="004A20EE">
        <w:rPr>
          <w:b/>
          <w:bCs/>
          <w:sz w:val="32"/>
          <w:szCs w:val="32"/>
        </w:rPr>
        <w:t>）</w:t>
      </w:r>
    </w:p>
    <w:p w14:paraId="377F41C2" w14:textId="77777777" w:rsidR="00D725E0" w:rsidRPr="004A20EE" w:rsidRDefault="00D725E0" w:rsidP="004A20EE">
      <w:pPr>
        <w:adjustRightInd w:val="0"/>
        <w:snapToGrid w:val="0"/>
        <w:spacing w:line="360" w:lineRule="auto"/>
        <w:jc w:val="center"/>
        <w:rPr>
          <w:b/>
          <w:bCs/>
          <w:sz w:val="32"/>
          <w:szCs w:val="32"/>
        </w:rPr>
      </w:pPr>
      <w:r w:rsidRPr="004A20EE">
        <w:rPr>
          <w:b/>
          <w:bCs/>
          <w:sz w:val="32"/>
          <w:szCs w:val="32"/>
        </w:rPr>
        <w:t>验收工作组成员签字表</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962"/>
        <w:gridCol w:w="1879"/>
        <w:gridCol w:w="3261"/>
        <w:gridCol w:w="1703"/>
        <w:gridCol w:w="1981"/>
      </w:tblGrid>
      <w:tr w:rsidR="004A20EE" w:rsidRPr="004A20EE" w14:paraId="2AD7686C" w14:textId="77777777" w:rsidTr="00371ECB">
        <w:trPr>
          <w:trHeight w:hRule="exact" w:val="680"/>
          <w:jc w:val="center"/>
        </w:trPr>
        <w:tc>
          <w:tcPr>
            <w:tcW w:w="962" w:type="dxa"/>
            <w:shd w:val="clear" w:color="auto" w:fill="FFFFFF"/>
            <w:vAlign w:val="center"/>
          </w:tcPr>
          <w:p w14:paraId="280A84F9" w14:textId="77777777" w:rsidR="00D725E0" w:rsidRPr="004A20EE" w:rsidRDefault="00D725E0" w:rsidP="00371ECB">
            <w:pPr>
              <w:widowControl/>
              <w:adjustRightInd w:val="0"/>
              <w:snapToGrid w:val="0"/>
              <w:jc w:val="center"/>
              <w:rPr>
                <w:kern w:val="0"/>
                <w:sz w:val="24"/>
                <w:szCs w:val="24"/>
              </w:rPr>
            </w:pPr>
            <w:r w:rsidRPr="004A20EE">
              <w:rPr>
                <w:kern w:val="0"/>
                <w:sz w:val="24"/>
                <w:szCs w:val="24"/>
              </w:rPr>
              <w:t>分工</w:t>
            </w:r>
          </w:p>
        </w:tc>
        <w:tc>
          <w:tcPr>
            <w:tcW w:w="1879" w:type="dxa"/>
            <w:shd w:val="clear" w:color="auto" w:fill="FFFFFF"/>
            <w:vAlign w:val="center"/>
          </w:tcPr>
          <w:p w14:paraId="369C0199" w14:textId="77777777" w:rsidR="00D725E0" w:rsidRPr="004A20EE" w:rsidRDefault="00D725E0" w:rsidP="00371ECB">
            <w:pPr>
              <w:widowControl/>
              <w:adjustRightInd w:val="0"/>
              <w:snapToGrid w:val="0"/>
              <w:jc w:val="center"/>
              <w:rPr>
                <w:kern w:val="0"/>
                <w:sz w:val="24"/>
                <w:szCs w:val="24"/>
              </w:rPr>
            </w:pPr>
            <w:r w:rsidRPr="004A20EE">
              <w:rPr>
                <w:kern w:val="0"/>
                <w:sz w:val="24"/>
                <w:szCs w:val="24"/>
              </w:rPr>
              <w:t>姓名</w:t>
            </w:r>
          </w:p>
        </w:tc>
        <w:tc>
          <w:tcPr>
            <w:tcW w:w="3261" w:type="dxa"/>
            <w:shd w:val="clear" w:color="auto" w:fill="FFFFFF"/>
            <w:vAlign w:val="center"/>
          </w:tcPr>
          <w:p w14:paraId="19F62CD1" w14:textId="77777777" w:rsidR="00D725E0" w:rsidRPr="004A20EE" w:rsidRDefault="00D725E0" w:rsidP="00371ECB">
            <w:pPr>
              <w:widowControl/>
              <w:adjustRightInd w:val="0"/>
              <w:snapToGrid w:val="0"/>
              <w:jc w:val="center"/>
              <w:rPr>
                <w:kern w:val="0"/>
                <w:sz w:val="24"/>
                <w:szCs w:val="24"/>
              </w:rPr>
            </w:pPr>
            <w:r w:rsidRPr="004A20EE">
              <w:rPr>
                <w:kern w:val="0"/>
                <w:sz w:val="24"/>
                <w:szCs w:val="24"/>
              </w:rPr>
              <w:t>单位</w:t>
            </w:r>
          </w:p>
        </w:tc>
        <w:tc>
          <w:tcPr>
            <w:tcW w:w="1703" w:type="dxa"/>
            <w:shd w:val="clear" w:color="auto" w:fill="FFFFFF"/>
            <w:vAlign w:val="center"/>
          </w:tcPr>
          <w:p w14:paraId="1422066D" w14:textId="77777777" w:rsidR="00D725E0" w:rsidRPr="004A20EE" w:rsidRDefault="00D725E0" w:rsidP="00371ECB">
            <w:pPr>
              <w:widowControl/>
              <w:adjustRightInd w:val="0"/>
              <w:snapToGrid w:val="0"/>
              <w:jc w:val="center"/>
              <w:rPr>
                <w:kern w:val="0"/>
                <w:sz w:val="24"/>
                <w:szCs w:val="24"/>
              </w:rPr>
            </w:pPr>
            <w:r w:rsidRPr="004A20EE">
              <w:rPr>
                <w:kern w:val="0"/>
                <w:sz w:val="24"/>
                <w:szCs w:val="24"/>
              </w:rPr>
              <w:t>职务</w:t>
            </w:r>
            <w:r w:rsidRPr="004A20EE">
              <w:rPr>
                <w:kern w:val="0"/>
                <w:sz w:val="24"/>
                <w:szCs w:val="24"/>
              </w:rPr>
              <w:t>/</w:t>
            </w:r>
            <w:r w:rsidRPr="004A20EE">
              <w:rPr>
                <w:kern w:val="0"/>
                <w:sz w:val="24"/>
                <w:szCs w:val="24"/>
              </w:rPr>
              <w:t>职称</w:t>
            </w:r>
          </w:p>
        </w:tc>
        <w:tc>
          <w:tcPr>
            <w:tcW w:w="1981" w:type="dxa"/>
            <w:shd w:val="clear" w:color="auto" w:fill="FFFFFF"/>
            <w:vAlign w:val="center"/>
          </w:tcPr>
          <w:p w14:paraId="785D356C" w14:textId="77777777" w:rsidR="00D725E0" w:rsidRPr="004A20EE" w:rsidRDefault="00D725E0" w:rsidP="00371ECB">
            <w:pPr>
              <w:widowControl/>
              <w:adjustRightInd w:val="0"/>
              <w:snapToGrid w:val="0"/>
              <w:jc w:val="center"/>
              <w:rPr>
                <w:kern w:val="0"/>
                <w:sz w:val="24"/>
                <w:szCs w:val="24"/>
              </w:rPr>
            </w:pPr>
            <w:r w:rsidRPr="004A20EE">
              <w:rPr>
                <w:kern w:val="0"/>
                <w:sz w:val="24"/>
                <w:szCs w:val="24"/>
              </w:rPr>
              <w:t>电话</w:t>
            </w:r>
          </w:p>
        </w:tc>
      </w:tr>
      <w:tr w:rsidR="004A20EE" w:rsidRPr="004A20EE" w14:paraId="222DCEF1" w14:textId="77777777" w:rsidTr="00371ECB">
        <w:trPr>
          <w:trHeight w:hRule="exact" w:val="680"/>
          <w:jc w:val="center"/>
        </w:trPr>
        <w:tc>
          <w:tcPr>
            <w:tcW w:w="962" w:type="dxa"/>
            <w:shd w:val="clear" w:color="auto" w:fill="FFFFFF"/>
            <w:vAlign w:val="center"/>
          </w:tcPr>
          <w:p w14:paraId="24CDB833" w14:textId="77777777" w:rsidR="00D725E0" w:rsidRPr="004A20EE" w:rsidRDefault="00D725E0" w:rsidP="00371ECB">
            <w:pPr>
              <w:widowControl/>
              <w:adjustRightInd w:val="0"/>
              <w:snapToGrid w:val="0"/>
              <w:jc w:val="center"/>
              <w:rPr>
                <w:kern w:val="0"/>
                <w:sz w:val="24"/>
                <w:szCs w:val="24"/>
              </w:rPr>
            </w:pPr>
            <w:r w:rsidRPr="004A20EE">
              <w:rPr>
                <w:kern w:val="0"/>
                <w:sz w:val="24"/>
                <w:szCs w:val="24"/>
              </w:rPr>
              <w:t>组长</w:t>
            </w:r>
          </w:p>
        </w:tc>
        <w:tc>
          <w:tcPr>
            <w:tcW w:w="1879" w:type="dxa"/>
            <w:shd w:val="clear" w:color="auto" w:fill="FFFFFF"/>
            <w:vAlign w:val="center"/>
          </w:tcPr>
          <w:p w14:paraId="03204284"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07A46818"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493A25A8"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56C36CB2" w14:textId="77777777" w:rsidR="00D725E0" w:rsidRPr="004A20EE" w:rsidRDefault="00D725E0" w:rsidP="00371ECB">
            <w:pPr>
              <w:widowControl/>
              <w:adjustRightInd w:val="0"/>
              <w:snapToGrid w:val="0"/>
              <w:jc w:val="center"/>
              <w:rPr>
                <w:kern w:val="0"/>
                <w:sz w:val="24"/>
                <w:szCs w:val="24"/>
              </w:rPr>
            </w:pPr>
          </w:p>
        </w:tc>
      </w:tr>
      <w:tr w:rsidR="004A20EE" w:rsidRPr="004A20EE" w14:paraId="54BDADA9" w14:textId="77777777" w:rsidTr="00371ECB">
        <w:trPr>
          <w:trHeight w:hRule="exact" w:val="680"/>
          <w:jc w:val="center"/>
        </w:trPr>
        <w:tc>
          <w:tcPr>
            <w:tcW w:w="962" w:type="dxa"/>
            <w:vMerge w:val="restart"/>
            <w:shd w:val="clear" w:color="auto" w:fill="FFFFFF"/>
            <w:vAlign w:val="center"/>
          </w:tcPr>
          <w:p w14:paraId="5268CB11" w14:textId="77777777" w:rsidR="00D725E0" w:rsidRPr="004A20EE" w:rsidRDefault="00D725E0" w:rsidP="00371ECB">
            <w:pPr>
              <w:widowControl/>
              <w:adjustRightInd w:val="0"/>
              <w:snapToGrid w:val="0"/>
              <w:ind w:left="120" w:right="120"/>
              <w:jc w:val="center"/>
              <w:rPr>
                <w:kern w:val="0"/>
                <w:sz w:val="24"/>
                <w:szCs w:val="24"/>
              </w:rPr>
            </w:pPr>
            <w:r w:rsidRPr="004A20EE">
              <w:rPr>
                <w:kern w:val="0"/>
                <w:sz w:val="24"/>
                <w:szCs w:val="24"/>
              </w:rPr>
              <w:t>成</w:t>
            </w:r>
          </w:p>
          <w:p w14:paraId="19432B03" w14:textId="77777777" w:rsidR="00D725E0" w:rsidRPr="004A20EE" w:rsidRDefault="00D725E0" w:rsidP="00371ECB">
            <w:pPr>
              <w:widowControl/>
              <w:adjustRightInd w:val="0"/>
              <w:snapToGrid w:val="0"/>
              <w:ind w:left="120" w:right="120"/>
              <w:jc w:val="center"/>
              <w:rPr>
                <w:kern w:val="0"/>
                <w:sz w:val="24"/>
                <w:szCs w:val="24"/>
              </w:rPr>
            </w:pPr>
          </w:p>
          <w:p w14:paraId="40D5D1C7" w14:textId="77777777" w:rsidR="00D725E0" w:rsidRPr="004A20EE" w:rsidRDefault="00D725E0" w:rsidP="00371ECB">
            <w:pPr>
              <w:widowControl/>
              <w:adjustRightInd w:val="0"/>
              <w:snapToGrid w:val="0"/>
              <w:ind w:left="120" w:right="120"/>
              <w:jc w:val="center"/>
              <w:rPr>
                <w:kern w:val="0"/>
                <w:sz w:val="24"/>
                <w:szCs w:val="24"/>
              </w:rPr>
            </w:pPr>
          </w:p>
          <w:p w14:paraId="65DDA844" w14:textId="77777777" w:rsidR="00D725E0" w:rsidRPr="004A20EE" w:rsidRDefault="00D725E0" w:rsidP="00371ECB">
            <w:pPr>
              <w:widowControl/>
              <w:adjustRightInd w:val="0"/>
              <w:snapToGrid w:val="0"/>
              <w:ind w:left="120" w:right="120"/>
              <w:jc w:val="center"/>
              <w:rPr>
                <w:kern w:val="0"/>
                <w:sz w:val="24"/>
                <w:szCs w:val="24"/>
              </w:rPr>
            </w:pPr>
          </w:p>
          <w:p w14:paraId="038D24E7" w14:textId="77777777" w:rsidR="00D725E0" w:rsidRPr="004A20EE" w:rsidRDefault="00D725E0" w:rsidP="00371ECB">
            <w:pPr>
              <w:widowControl/>
              <w:adjustRightInd w:val="0"/>
              <w:snapToGrid w:val="0"/>
              <w:ind w:left="120" w:right="120"/>
              <w:jc w:val="center"/>
              <w:rPr>
                <w:kern w:val="0"/>
                <w:sz w:val="24"/>
                <w:szCs w:val="24"/>
              </w:rPr>
            </w:pPr>
          </w:p>
          <w:p w14:paraId="58CD707B" w14:textId="77777777" w:rsidR="00D725E0" w:rsidRPr="004A20EE" w:rsidRDefault="00D725E0" w:rsidP="00371ECB">
            <w:pPr>
              <w:adjustRightInd w:val="0"/>
              <w:snapToGrid w:val="0"/>
              <w:ind w:left="120" w:right="120"/>
              <w:jc w:val="center"/>
              <w:rPr>
                <w:kern w:val="0"/>
                <w:sz w:val="24"/>
                <w:szCs w:val="24"/>
              </w:rPr>
            </w:pPr>
            <w:r w:rsidRPr="004A20EE">
              <w:rPr>
                <w:kern w:val="0"/>
                <w:sz w:val="24"/>
                <w:szCs w:val="24"/>
              </w:rPr>
              <w:t>员</w:t>
            </w:r>
          </w:p>
        </w:tc>
        <w:tc>
          <w:tcPr>
            <w:tcW w:w="1879" w:type="dxa"/>
            <w:shd w:val="clear" w:color="auto" w:fill="FFFFFF"/>
            <w:vAlign w:val="center"/>
          </w:tcPr>
          <w:p w14:paraId="5C611239"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1304F1FF"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3FC47C95"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6FEC3BC3" w14:textId="77777777" w:rsidR="00D725E0" w:rsidRPr="004A20EE" w:rsidRDefault="00D725E0" w:rsidP="00371ECB">
            <w:pPr>
              <w:widowControl/>
              <w:adjustRightInd w:val="0"/>
              <w:snapToGrid w:val="0"/>
              <w:jc w:val="center"/>
              <w:rPr>
                <w:kern w:val="0"/>
                <w:sz w:val="24"/>
                <w:szCs w:val="24"/>
              </w:rPr>
            </w:pPr>
          </w:p>
        </w:tc>
      </w:tr>
      <w:tr w:rsidR="004A20EE" w:rsidRPr="004A20EE" w14:paraId="3C7949B8" w14:textId="77777777" w:rsidTr="00371ECB">
        <w:trPr>
          <w:trHeight w:hRule="exact" w:val="680"/>
          <w:jc w:val="center"/>
        </w:trPr>
        <w:tc>
          <w:tcPr>
            <w:tcW w:w="962" w:type="dxa"/>
            <w:vMerge/>
            <w:shd w:val="clear" w:color="auto" w:fill="FFFFFF"/>
            <w:vAlign w:val="center"/>
          </w:tcPr>
          <w:p w14:paraId="0BBC161F" w14:textId="77777777" w:rsidR="00D725E0" w:rsidRPr="004A20EE" w:rsidRDefault="00D725E0" w:rsidP="00371ECB">
            <w:pPr>
              <w:adjustRightInd w:val="0"/>
              <w:snapToGrid w:val="0"/>
              <w:ind w:left="120" w:right="120"/>
              <w:jc w:val="center"/>
              <w:rPr>
                <w:kern w:val="0"/>
                <w:sz w:val="24"/>
                <w:szCs w:val="24"/>
              </w:rPr>
            </w:pPr>
          </w:p>
        </w:tc>
        <w:tc>
          <w:tcPr>
            <w:tcW w:w="1879" w:type="dxa"/>
            <w:shd w:val="clear" w:color="auto" w:fill="FFFFFF"/>
            <w:vAlign w:val="center"/>
          </w:tcPr>
          <w:p w14:paraId="49A9620D"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02236ECF"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245EA5C3"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5E09E3E9" w14:textId="77777777" w:rsidR="00D725E0" w:rsidRPr="004A20EE" w:rsidRDefault="00D725E0" w:rsidP="00371ECB">
            <w:pPr>
              <w:widowControl/>
              <w:adjustRightInd w:val="0"/>
              <w:snapToGrid w:val="0"/>
              <w:jc w:val="center"/>
              <w:rPr>
                <w:kern w:val="0"/>
                <w:sz w:val="24"/>
                <w:szCs w:val="24"/>
              </w:rPr>
            </w:pPr>
          </w:p>
        </w:tc>
      </w:tr>
      <w:tr w:rsidR="004A20EE" w:rsidRPr="004A20EE" w14:paraId="015E08A3" w14:textId="77777777" w:rsidTr="00371ECB">
        <w:trPr>
          <w:trHeight w:hRule="exact" w:val="680"/>
          <w:jc w:val="center"/>
        </w:trPr>
        <w:tc>
          <w:tcPr>
            <w:tcW w:w="962" w:type="dxa"/>
            <w:vMerge/>
            <w:shd w:val="clear" w:color="auto" w:fill="FFFFFF"/>
            <w:vAlign w:val="center"/>
          </w:tcPr>
          <w:p w14:paraId="140DFD26" w14:textId="77777777" w:rsidR="00D725E0" w:rsidRPr="004A20EE" w:rsidRDefault="00D725E0" w:rsidP="00371ECB">
            <w:pPr>
              <w:adjustRightInd w:val="0"/>
              <w:snapToGrid w:val="0"/>
              <w:ind w:left="120" w:right="120"/>
              <w:jc w:val="center"/>
              <w:rPr>
                <w:kern w:val="0"/>
                <w:sz w:val="24"/>
                <w:szCs w:val="24"/>
              </w:rPr>
            </w:pPr>
          </w:p>
        </w:tc>
        <w:tc>
          <w:tcPr>
            <w:tcW w:w="1879" w:type="dxa"/>
            <w:shd w:val="clear" w:color="auto" w:fill="FFFFFF"/>
            <w:vAlign w:val="center"/>
          </w:tcPr>
          <w:p w14:paraId="77B56475"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04DBCB8D"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7F1C9B30"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077A7EC5" w14:textId="77777777" w:rsidR="00D725E0" w:rsidRPr="004A20EE" w:rsidRDefault="00D725E0" w:rsidP="00371ECB">
            <w:pPr>
              <w:widowControl/>
              <w:adjustRightInd w:val="0"/>
              <w:snapToGrid w:val="0"/>
              <w:jc w:val="center"/>
              <w:rPr>
                <w:kern w:val="0"/>
                <w:sz w:val="24"/>
                <w:szCs w:val="24"/>
              </w:rPr>
            </w:pPr>
          </w:p>
        </w:tc>
      </w:tr>
      <w:tr w:rsidR="004A20EE" w:rsidRPr="004A20EE" w14:paraId="6DB64028" w14:textId="77777777" w:rsidTr="00371ECB">
        <w:trPr>
          <w:trHeight w:hRule="exact" w:val="680"/>
          <w:jc w:val="center"/>
        </w:trPr>
        <w:tc>
          <w:tcPr>
            <w:tcW w:w="962" w:type="dxa"/>
            <w:vMerge/>
            <w:shd w:val="clear" w:color="auto" w:fill="FFFFFF"/>
            <w:vAlign w:val="center"/>
          </w:tcPr>
          <w:p w14:paraId="0F7E0A1E" w14:textId="77777777" w:rsidR="00D725E0" w:rsidRPr="004A20EE" w:rsidRDefault="00D725E0" w:rsidP="00371ECB">
            <w:pPr>
              <w:adjustRightInd w:val="0"/>
              <w:snapToGrid w:val="0"/>
              <w:ind w:left="120" w:right="120"/>
              <w:jc w:val="center"/>
              <w:rPr>
                <w:kern w:val="0"/>
                <w:sz w:val="24"/>
                <w:szCs w:val="24"/>
              </w:rPr>
            </w:pPr>
          </w:p>
        </w:tc>
        <w:tc>
          <w:tcPr>
            <w:tcW w:w="1879" w:type="dxa"/>
            <w:shd w:val="clear" w:color="auto" w:fill="FFFFFF"/>
            <w:vAlign w:val="center"/>
          </w:tcPr>
          <w:p w14:paraId="7156DD84"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2C7CF446"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50B3DF18"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1F82885E" w14:textId="77777777" w:rsidR="00D725E0" w:rsidRPr="004A20EE" w:rsidRDefault="00D725E0" w:rsidP="00371ECB">
            <w:pPr>
              <w:widowControl/>
              <w:adjustRightInd w:val="0"/>
              <w:snapToGrid w:val="0"/>
              <w:jc w:val="center"/>
              <w:rPr>
                <w:kern w:val="0"/>
                <w:sz w:val="24"/>
                <w:szCs w:val="24"/>
              </w:rPr>
            </w:pPr>
          </w:p>
        </w:tc>
      </w:tr>
      <w:tr w:rsidR="004A20EE" w:rsidRPr="004A20EE" w14:paraId="78C97ED5" w14:textId="77777777" w:rsidTr="00371ECB">
        <w:trPr>
          <w:trHeight w:hRule="exact" w:val="680"/>
          <w:jc w:val="center"/>
        </w:trPr>
        <w:tc>
          <w:tcPr>
            <w:tcW w:w="962" w:type="dxa"/>
            <w:vMerge/>
            <w:shd w:val="clear" w:color="auto" w:fill="FFFFFF"/>
            <w:vAlign w:val="center"/>
          </w:tcPr>
          <w:p w14:paraId="03C83FB6" w14:textId="77777777" w:rsidR="00D725E0" w:rsidRPr="004A20EE" w:rsidRDefault="00D725E0" w:rsidP="00371ECB">
            <w:pPr>
              <w:adjustRightInd w:val="0"/>
              <w:snapToGrid w:val="0"/>
              <w:ind w:left="120" w:right="120"/>
              <w:jc w:val="center"/>
              <w:rPr>
                <w:kern w:val="0"/>
                <w:sz w:val="24"/>
                <w:szCs w:val="24"/>
              </w:rPr>
            </w:pPr>
          </w:p>
        </w:tc>
        <w:tc>
          <w:tcPr>
            <w:tcW w:w="1879" w:type="dxa"/>
            <w:shd w:val="clear" w:color="auto" w:fill="FFFFFF"/>
            <w:vAlign w:val="center"/>
          </w:tcPr>
          <w:p w14:paraId="3440E24A"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3835FB10"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09ED67E9"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73B819FA" w14:textId="77777777" w:rsidR="00D725E0" w:rsidRPr="004A20EE" w:rsidRDefault="00D725E0" w:rsidP="00371ECB">
            <w:pPr>
              <w:widowControl/>
              <w:adjustRightInd w:val="0"/>
              <w:snapToGrid w:val="0"/>
              <w:jc w:val="center"/>
              <w:rPr>
                <w:kern w:val="0"/>
                <w:sz w:val="24"/>
                <w:szCs w:val="24"/>
              </w:rPr>
            </w:pPr>
          </w:p>
        </w:tc>
      </w:tr>
      <w:tr w:rsidR="004A20EE" w:rsidRPr="004A20EE" w14:paraId="7127AAEC" w14:textId="77777777" w:rsidTr="00371ECB">
        <w:trPr>
          <w:trHeight w:hRule="exact" w:val="680"/>
          <w:jc w:val="center"/>
        </w:trPr>
        <w:tc>
          <w:tcPr>
            <w:tcW w:w="962" w:type="dxa"/>
            <w:vMerge/>
            <w:shd w:val="clear" w:color="auto" w:fill="FFFFFF"/>
            <w:vAlign w:val="center"/>
          </w:tcPr>
          <w:p w14:paraId="6513AAB0" w14:textId="77777777" w:rsidR="00D725E0" w:rsidRPr="004A20EE" w:rsidRDefault="00D725E0" w:rsidP="00371ECB">
            <w:pPr>
              <w:widowControl/>
              <w:adjustRightInd w:val="0"/>
              <w:snapToGrid w:val="0"/>
              <w:ind w:left="120" w:right="120"/>
              <w:jc w:val="center"/>
              <w:rPr>
                <w:kern w:val="0"/>
                <w:sz w:val="24"/>
                <w:szCs w:val="24"/>
              </w:rPr>
            </w:pPr>
          </w:p>
        </w:tc>
        <w:tc>
          <w:tcPr>
            <w:tcW w:w="1879" w:type="dxa"/>
            <w:shd w:val="clear" w:color="auto" w:fill="FFFFFF"/>
            <w:vAlign w:val="center"/>
          </w:tcPr>
          <w:p w14:paraId="3E87FEC6"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0245CDCC"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4AF4B2BF"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287A269A" w14:textId="77777777" w:rsidR="00D725E0" w:rsidRPr="004A20EE" w:rsidRDefault="00D725E0" w:rsidP="00371ECB">
            <w:pPr>
              <w:widowControl/>
              <w:adjustRightInd w:val="0"/>
              <w:snapToGrid w:val="0"/>
              <w:jc w:val="center"/>
              <w:rPr>
                <w:kern w:val="0"/>
                <w:sz w:val="24"/>
                <w:szCs w:val="24"/>
              </w:rPr>
            </w:pPr>
          </w:p>
        </w:tc>
      </w:tr>
      <w:tr w:rsidR="004A20EE" w:rsidRPr="004A20EE" w14:paraId="1618A37E" w14:textId="77777777" w:rsidTr="00371ECB">
        <w:trPr>
          <w:trHeight w:hRule="exact" w:val="680"/>
          <w:jc w:val="center"/>
        </w:trPr>
        <w:tc>
          <w:tcPr>
            <w:tcW w:w="962" w:type="dxa"/>
            <w:vMerge/>
            <w:shd w:val="clear" w:color="auto" w:fill="FFFFFF"/>
            <w:vAlign w:val="center"/>
          </w:tcPr>
          <w:p w14:paraId="19D51CCB" w14:textId="77777777" w:rsidR="00D725E0" w:rsidRPr="004A20EE" w:rsidRDefault="00D725E0" w:rsidP="00371ECB">
            <w:pPr>
              <w:widowControl/>
              <w:adjustRightInd w:val="0"/>
              <w:snapToGrid w:val="0"/>
              <w:ind w:left="120" w:right="120"/>
              <w:jc w:val="center"/>
              <w:rPr>
                <w:kern w:val="0"/>
                <w:sz w:val="24"/>
                <w:szCs w:val="24"/>
              </w:rPr>
            </w:pPr>
          </w:p>
        </w:tc>
        <w:tc>
          <w:tcPr>
            <w:tcW w:w="1879" w:type="dxa"/>
            <w:shd w:val="clear" w:color="auto" w:fill="FFFFFF"/>
            <w:vAlign w:val="center"/>
          </w:tcPr>
          <w:p w14:paraId="1FBE515E"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634450C6"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4EDB9CA9"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5A15EC57" w14:textId="77777777" w:rsidR="00D725E0" w:rsidRPr="004A20EE" w:rsidRDefault="00D725E0" w:rsidP="00371ECB">
            <w:pPr>
              <w:widowControl/>
              <w:adjustRightInd w:val="0"/>
              <w:snapToGrid w:val="0"/>
              <w:jc w:val="center"/>
              <w:rPr>
                <w:kern w:val="0"/>
                <w:sz w:val="24"/>
                <w:szCs w:val="24"/>
              </w:rPr>
            </w:pPr>
          </w:p>
        </w:tc>
      </w:tr>
      <w:tr w:rsidR="004A20EE" w:rsidRPr="004A20EE" w14:paraId="7A64A296" w14:textId="77777777" w:rsidTr="00371ECB">
        <w:trPr>
          <w:trHeight w:hRule="exact" w:val="680"/>
          <w:jc w:val="center"/>
        </w:trPr>
        <w:tc>
          <w:tcPr>
            <w:tcW w:w="962" w:type="dxa"/>
            <w:vMerge/>
            <w:shd w:val="clear" w:color="auto" w:fill="FFFFFF"/>
            <w:vAlign w:val="center"/>
          </w:tcPr>
          <w:p w14:paraId="4A44E31A" w14:textId="77777777" w:rsidR="00D725E0" w:rsidRPr="004A20EE" w:rsidRDefault="00D725E0" w:rsidP="00371ECB">
            <w:pPr>
              <w:widowControl/>
              <w:adjustRightInd w:val="0"/>
              <w:snapToGrid w:val="0"/>
              <w:jc w:val="left"/>
              <w:rPr>
                <w:kern w:val="0"/>
                <w:sz w:val="24"/>
                <w:szCs w:val="24"/>
              </w:rPr>
            </w:pPr>
          </w:p>
        </w:tc>
        <w:tc>
          <w:tcPr>
            <w:tcW w:w="1879" w:type="dxa"/>
            <w:shd w:val="clear" w:color="auto" w:fill="FFFFFF"/>
            <w:vAlign w:val="center"/>
          </w:tcPr>
          <w:p w14:paraId="4FC93D7A"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764853C6"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4FC2C6B1"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7E4D6690" w14:textId="77777777" w:rsidR="00D725E0" w:rsidRPr="004A20EE" w:rsidRDefault="00D725E0" w:rsidP="00371ECB">
            <w:pPr>
              <w:widowControl/>
              <w:adjustRightInd w:val="0"/>
              <w:snapToGrid w:val="0"/>
              <w:jc w:val="center"/>
              <w:rPr>
                <w:kern w:val="0"/>
                <w:sz w:val="24"/>
                <w:szCs w:val="24"/>
              </w:rPr>
            </w:pPr>
          </w:p>
        </w:tc>
      </w:tr>
      <w:tr w:rsidR="004A20EE" w:rsidRPr="004A20EE" w14:paraId="30B604EE" w14:textId="77777777" w:rsidTr="00371ECB">
        <w:trPr>
          <w:trHeight w:hRule="exact" w:val="680"/>
          <w:jc w:val="center"/>
        </w:trPr>
        <w:tc>
          <w:tcPr>
            <w:tcW w:w="962" w:type="dxa"/>
            <w:vMerge/>
            <w:shd w:val="clear" w:color="auto" w:fill="FFFFFF"/>
            <w:vAlign w:val="center"/>
          </w:tcPr>
          <w:p w14:paraId="01BE5380" w14:textId="77777777" w:rsidR="00D725E0" w:rsidRPr="004A20EE" w:rsidRDefault="00D725E0" w:rsidP="00371ECB">
            <w:pPr>
              <w:widowControl/>
              <w:adjustRightInd w:val="0"/>
              <w:snapToGrid w:val="0"/>
              <w:jc w:val="left"/>
              <w:rPr>
                <w:kern w:val="0"/>
                <w:sz w:val="24"/>
                <w:szCs w:val="24"/>
              </w:rPr>
            </w:pPr>
          </w:p>
        </w:tc>
        <w:tc>
          <w:tcPr>
            <w:tcW w:w="1879" w:type="dxa"/>
            <w:shd w:val="clear" w:color="auto" w:fill="FFFFFF"/>
            <w:vAlign w:val="center"/>
          </w:tcPr>
          <w:p w14:paraId="7D96047A"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7F36B840"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714770CC"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5CBF448F" w14:textId="77777777" w:rsidR="00D725E0" w:rsidRPr="004A20EE" w:rsidRDefault="00D725E0" w:rsidP="00371ECB">
            <w:pPr>
              <w:widowControl/>
              <w:adjustRightInd w:val="0"/>
              <w:snapToGrid w:val="0"/>
              <w:jc w:val="center"/>
              <w:rPr>
                <w:kern w:val="0"/>
                <w:sz w:val="24"/>
                <w:szCs w:val="24"/>
              </w:rPr>
            </w:pPr>
          </w:p>
        </w:tc>
      </w:tr>
      <w:tr w:rsidR="004A20EE" w:rsidRPr="004A20EE" w14:paraId="3A0251D1" w14:textId="77777777" w:rsidTr="00371ECB">
        <w:trPr>
          <w:trHeight w:hRule="exact" w:val="680"/>
          <w:jc w:val="center"/>
        </w:trPr>
        <w:tc>
          <w:tcPr>
            <w:tcW w:w="962" w:type="dxa"/>
            <w:vMerge/>
            <w:shd w:val="clear" w:color="auto" w:fill="FFFFFF"/>
            <w:vAlign w:val="center"/>
          </w:tcPr>
          <w:p w14:paraId="51E7F647" w14:textId="77777777" w:rsidR="00D725E0" w:rsidRPr="004A20EE" w:rsidRDefault="00D725E0" w:rsidP="00371ECB">
            <w:pPr>
              <w:widowControl/>
              <w:adjustRightInd w:val="0"/>
              <w:snapToGrid w:val="0"/>
              <w:jc w:val="left"/>
              <w:rPr>
                <w:kern w:val="0"/>
                <w:sz w:val="24"/>
                <w:szCs w:val="24"/>
              </w:rPr>
            </w:pPr>
          </w:p>
        </w:tc>
        <w:tc>
          <w:tcPr>
            <w:tcW w:w="1879" w:type="dxa"/>
            <w:shd w:val="clear" w:color="auto" w:fill="FFFFFF"/>
            <w:vAlign w:val="center"/>
          </w:tcPr>
          <w:p w14:paraId="4ADFD723"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084D2F49"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141BC7A2"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08C6499A" w14:textId="77777777" w:rsidR="00D725E0" w:rsidRPr="004A20EE" w:rsidRDefault="00D725E0" w:rsidP="00371ECB">
            <w:pPr>
              <w:widowControl/>
              <w:adjustRightInd w:val="0"/>
              <w:snapToGrid w:val="0"/>
              <w:jc w:val="center"/>
              <w:rPr>
                <w:kern w:val="0"/>
                <w:sz w:val="24"/>
                <w:szCs w:val="24"/>
              </w:rPr>
            </w:pPr>
          </w:p>
        </w:tc>
      </w:tr>
      <w:tr w:rsidR="004A20EE" w:rsidRPr="004A20EE" w14:paraId="161649EB" w14:textId="77777777" w:rsidTr="00371ECB">
        <w:trPr>
          <w:trHeight w:hRule="exact" w:val="680"/>
          <w:jc w:val="center"/>
        </w:trPr>
        <w:tc>
          <w:tcPr>
            <w:tcW w:w="962" w:type="dxa"/>
            <w:vMerge/>
            <w:shd w:val="clear" w:color="auto" w:fill="FFFFFF"/>
            <w:vAlign w:val="center"/>
          </w:tcPr>
          <w:p w14:paraId="06099399" w14:textId="77777777" w:rsidR="00D725E0" w:rsidRPr="004A20EE" w:rsidRDefault="00D725E0" w:rsidP="00371ECB">
            <w:pPr>
              <w:widowControl/>
              <w:adjustRightInd w:val="0"/>
              <w:snapToGrid w:val="0"/>
              <w:jc w:val="left"/>
              <w:rPr>
                <w:kern w:val="0"/>
                <w:sz w:val="24"/>
                <w:szCs w:val="24"/>
              </w:rPr>
            </w:pPr>
          </w:p>
        </w:tc>
        <w:tc>
          <w:tcPr>
            <w:tcW w:w="1879" w:type="dxa"/>
            <w:shd w:val="clear" w:color="auto" w:fill="FFFFFF"/>
            <w:vAlign w:val="center"/>
          </w:tcPr>
          <w:p w14:paraId="387011CD"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3E67A84F"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29B0B970"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7BC6D640" w14:textId="77777777" w:rsidR="00D725E0" w:rsidRPr="004A20EE" w:rsidRDefault="00D725E0" w:rsidP="00371ECB">
            <w:pPr>
              <w:widowControl/>
              <w:adjustRightInd w:val="0"/>
              <w:snapToGrid w:val="0"/>
              <w:jc w:val="center"/>
              <w:rPr>
                <w:kern w:val="0"/>
                <w:sz w:val="24"/>
                <w:szCs w:val="24"/>
              </w:rPr>
            </w:pPr>
          </w:p>
        </w:tc>
      </w:tr>
      <w:tr w:rsidR="004A20EE" w:rsidRPr="004A20EE" w14:paraId="0C9E4BC6" w14:textId="77777777" w:rsidTr="00371ECB">
        <w:trPr>
          <w:trHeight w:hRule="exact" w:val="680"/>
          <w:jc w:val="center"/>
        </w:trPr>
        <w:tc>
          <w:tcPr>
            <w:tcW w:w="962" w:type="dxa"/>
            <w:vMerge/>
            <w:shd w:val="clear" w:color="auto" w:fill="FFFFFF"/>
            <w:vAlign w:val="center"/>
          </w:tcPr>
          <w:p w14:paraId="701E68CD" w14:textId="77777777" w:rsidR="00D725E0" w:rsidRPr="004A20EE" w:rsidRDefault="00D725E0" w:rsidP="00371ECB">
            <w:pPr>
              <w:widowControl/>
              <w:adjustRightInd w:val="0"/>
              <w:snapToGrid w:val="0"/>
              <w:jc w:val="left"/>
              <w:rPr>
                <w:kern w:val="0"/>
                <w:sz w:val="24"/>
                <w:szCs w:val="24"/>
              </w:rPr>
            </w:pPr>
          </w:p>
        </w:tc>
        <w:tc>
          <w:tcPr>
            <w:tcW w:w="1879" w:type="dxa"/>
            <w:shd w:val="clear" w:color="auto" w:fill="FFFFFF"/>
            <w:vAlign w:val="center"/>
          </w:tcPr>
          <w:p w14:paraId="59A775A9"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0859B189"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73FC7FC7"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38BED92C" w14:textId="77777777" w:rsidR="00D725E0" w:rsidRPr="004A20EE" w:rsidRDefault="00D725E0" w:rsidP="00371ECB">
            <w:pPr>
              <w:widowControl/>
              <w:adjustRightInd w:val="0"/>
              <w:snapToGrid w:val="0"/>
              <w:jc w:val="center"/>
              <w:rPr>
                <w:kern w:val="0"/>
                <w:sz w:val="24"/>
                <w:szCs w:val="24"/>
              </w:rPr>
            </w:pPr>
          </w:p>
        </w:tc>
      </w:tr>
      <w:tr w:rsidR="004A20EE" w:rsidRPr="004A20EE" w14:paraId="5CE55030" w14:textId="77777777" w:rsidTr="00371ECB">
        <w:trPr>
          <w:trHeight w:hRule="exact" w:val="680"/>
          <w:jc w:val="center"/>
        </w:trPr>
        <w:tc>
          <w:tcPr>
            <w:tcW w:w="962" w:type="dxa"/>
            <w:vMerge/>
            <w:shd w:val="clear" w:color="auto" w:fill="FFFFFF"/>
            <w:vAlign w:val="center"/>
          </w:tcPr>
          <w:p w14:paraId="2FCA070B" w14:textId="77777777" w:rsidR="00D725E0" w:rsidRPr="004A20EE" w:rsidRDefault="00D725E0" w:rsidP="00371ECB">
            <w:pPr>
              <w:widowControl/>
              <w:adjustRightInd w:val="0"/>
              <w:snapToGrid w:val="0"/>
              <w:jc w:val="left"/>
              <w:rPr>
                <w:kern w:val="0"/>
                <w:sz w:val="24"/>
                <w:szCs w:val="24"/>
              </w:rPr>
            </w:pPr>
          </w:p>
        </w:tc>
        <w:tc>
          <w:tcPr>
            <w:tcW w:w="1879" w:type="dxa"/>
            <w:shd w:val="clear" w:color="auto" w:fill="FFFFFF"/>
            <w:vAlign w:val="center"/>
          </w:tcPr>
          <w:p w14:paraId="747D07FD" w14:textId="77777777" w:rsidR="00D725E0" w:rsidRPr="004A20EE" w:rsidRDefault="00D725E0" w:rsidP="00371ECB">
            <w:pPr>
              <w:widowControl/>
              <w:adjustRightInd w:val="0"/>
              <w:snapToGrid w:val="0"/>
              <w:jc w:val="center"/>
              <w:rPr>
                <w:kern w:val="0"/>
                <w:sz w:val="24"/>
                <w:szCs w:val="24"/>
              </w:rPr>
            </w:pPr>
          </w:p>
        </w:tc>
        <w:tc>
          <w:tcPr>
            <w:tcW w:w="3261" w:type="dxa"/>
            <w:shd w:val="clear" w:color="auto" w:fill="FFFFFF"/>
            <w:vAlign w:val="center"/>
          </w:tcPr>
          <w:p w14:paraId="7BA858B6" w14:textId="77777777" w:rsidR="00D725E0" w:rsidRPr="004A20EE" w:rsidRDefault="00D725E0" w:rsidP="00371ECB">
            <w:pPr>
              <w:widowControl/>
              <w:adjustRightInd w:val="0"/>
              <w:snapToGrid w:val="0"/>
              <w:jc w:val="center"/>
              <w:rPr>
                <w:kern w:val="0"/>
                <w:sz w:val="24"/>
                <w:szCs w:val="24"/>
              </w:rPr>
            </w:pPr>
          </w:p>
        </w:tc>
        <w:tc>
          <w:tcPr>
            <w:tcW w:w="1703" w:type="dxa"/>
            <w:shd w:val="clear" w:color="auto" w:fill="FFFFFF"/>
            <w:vAlign w:val="center"/>
          </w:tcPr>
          <w:p w14:paraId="04603C3A" w14:textId="77777777" w:rsidR="00D725E0" w:rsidRPr="004A20EE" w:rsidRDefault="00D725E0" w:rsidP="00371ECB">
            <w:pPr>
              <w:widowControl/>
              <w:adjustRightInd w:val="0"/>
              <w:snapToGrid w:val="0"/>
              <w:jc w:val="center"/>
              <w:rPr>
                <w:kern w:val="0"/>
                <w:sz w:val="24"/>
                <w:szCs w:val="24"/>
              </w:rPr>
            </w:pPr>
          </w:p>
        </w:tc>
        <w:tc>
          <w:tcPr>
            <w:tcW w:w="1981" w:type="dxa"/>
            <w:shd w:val="clear" w:color="auto" w:fill="FFFFFF"/>
            <w:vAlign w:val="center"/>
          </w:tcPr>
          <w:p w14:paraId="7AF32527" w14:textId="77777777" w:rsidR="00D725E0" w:rsidRPr="004A20EE" w:rsidRDefault="00D725E0" w:rsidP="00371ECB">
            <w:pPr>
              <w:widowControl/>
              <w:adjustRightInd w:val="0"/>
              <w:snapToGrid w:val="0"/>
              <w:jc w:val="center"/>
              <w:rPr>
                <w:kern w:val="0"/>
                <w:sz w:val="24"/>
                <w:szCs w:val="24"/>
              </w:rPr>
            </w:pPr>
          </w:p>
        </w:tc>
      </w:tr>
    </w:tbl>
    <w:p w14:paraId="6D5491A9" w14:textId="77777777" w:rsidR="00D725E0" w:rsidRPr="004A20EE" w:rsidRDefault="00D725E0" w:rsidP="00D725E0">
      <w:pPr>
        <w:pStyle w:val="2"/>
        <w:ind w:firstLine="640"/>
      </w:pPr>
    </w:p>
    <w:sectPr w:rsidR="00D725E0" w:rsidRPr="004A20E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542B7" w14:textId="77777777" w:rsidR="0097242B" w:rsidRDefault="0097242B" w:rsidP="00071842">
      <w:r>
        <w:separator/>
      </w:r>
    </w:p>
  </w:endnote>
  <w:endnote w:type="continuationSeparator" w:id="0">
    <w:p w14:paraId="0B373249" w14:textId="77777777" w:rsidR="0097242B" w:rsidRDefault="0097242B" w:rsidP="0007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79C35" w14:textId="77777777" w:rsidR="0097242B" w:rsidRDefault="0097242B" w:rsidP="00071842">
      <w:r>
        <w:separator/>
      </w:r>
    </w:p>
  </w:footnote>
  <w:footnote w:type="continuationSeparator" w:id="0">
    <w:p w14:paraId="7EF92D26" w14:textId="77777777" w:rsidR="0097242B" w:rsidRDefault="0097242B" w:rsidP="0007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119F8"/>
    <w:multiLevelType w:val="singleLevel"/>
    <w:tmpl w:val="497119F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DC1"/>
    <w:rsid w:val="00026C47"/>
    <w:rsid w:val="00055279"/>
    <w:rsid w:val="00071842"/>
    <w:rsid w:val="00073C45"/>
    <w:rsid w:val="000937A8"/>
    <w:rsid w:val="00135EB2"/>
    <w:rsid w:val="001954A2"/>
    <w:rsid w:val="002041F4"/>
    <w:rsid w:val="002069AB"/>
    <w:rsid w:val="00223908"/>
    <w:rsid w:val="00260E16"/>
    <w:rsid w:val="002D7C6E"/>
    <w:rsid w:val="003160BC"/>
    <w:rsid w:val="003E447A"/>
    <w:rsid w:val="003E7AA9"/>
    <w:rsid w:val="003F3152"/>
    <w:rsid w:val="004620E8"/>
    <w:rsid w:val="004926DE"/>
    <w:rsid w:val="004A20EE"/>
    <w:rsid w:val="00521CE4"/>
    <w:rsid w:val="00540FD0"/>
    <w:rsid w:val="005707DB"/>
    <w:rsid w:val="005F4B4E"/>
    <w:rsid w:val="00642AB3"/>
    <w:rsid w:val="006568CA"/>
    <w:rsid w:val="006A2F91"/>
    <w:rsid w:val="006C148A"/>
    <w:rsid w:val="00707E25"/>
    <w:rsid w:val="0075379B"/>
    <w:rsid w:val="007F3BA8"/>
    <w:rsid w:val="00955AC7"/>
    <w:rsid w:val="009609D8"/>
    <w:rsid w:val="0097242B"/>
    <w:rsid w:val="0097517A"/>
    <w:rsid w:val="009A1C64"/>
    <w:rsid w:val="00A76165"/>
    <w:rsid w:val="00B13E35"/>
    <w:rsid w:val="00B925C9"/>
    <w:rsid w:val="00C67B41"/>
    <w:rsid w:val="00C94A3C"/>
    <w:rsid w:val="00CA32A1"/>
    <w:rsid w:val="00CB7A78"/>
    <w:rsid w:val="00CC3261"/>
    <w:rsid w:val="00D4416F"/>
    <w:rsid w:val="00D725E0"/>
    <w:rsid w:val="00D9468A"/>
    <w:rsid w:val="00E16B3F"/>
    <w:rsid w:val="00E7546E"/>
    <w:rsid w:val="00EE4ACB"/>
    <w:rsid w:val="00F25EA5"/>
    <w:rsid w:val="00F71DC1"/>
    <w:rsid w:val="00F75435"/>
    <w:rsid w:val="00FA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C1E5E"/>
  <w15:chartTrackingRefBased/>
  <w15:docId w15:val="{9F3257E6-D646-49B1-B162-6C67C1EB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071842"/>
    <w:pPr>
      <w:widowControl w:val="0"/>
      <w:jc w:val="both"/>
    </w:pPr>
    <w:rPr>
      <w:rFonts w:ascii="Times New Roman" w:eastAsia="宋体"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8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1842"/>
    <w:rPr>
      <w:sz w:val="18"/>
      <w:szCs w:val="18"/>
    </w:rPr>
  </w:style>
  <w:style w:type="paragraph" w:styleId="a5">
    <w:name w:val="footer"/>
    <w:basedOn w:val="a"/>
    <w:link w:val="a6"/>
    <w:uiPriority w:val="99"/>
    <w:unhideWhenUsed/>
    <w:rsid w:val="00071842"/>
    <w:pPr>
      <w:tabs>
        <w:tab w:val="center" w:pos="4153"/>
        <w:tab w:val="right" w:pos="8306"/>
      </w:tabs>
      <w:snapToGrid w:val="0"/>
      <w:jc w:val="left"/>
    </w:pPr>
    <w:rPr>
      <w:sz w:val="18"/>
      <w:szCs w:val="18"/>
    </w:rPr>
  </w:style>
  <w:style w:type="character" w:customStyle="1" w:styleId="a6">
    <w:name w:val="页脚 字符"/>
    <w:basedOn w:val="a0"/>
    <w:link w:val="a5"/>
    <w:uiPriority w:val="99"/>
    <w:rsid w:val="00071842"/>
    <w:rPr>
      <w:sz w:val="18"/>
      <w:szCs w:val="18"/>
    </w:rPr>
  </w:style>
  <w:style w:type="paragraph" w:styleId="a7">
    <w:name w:val="Normal (Web)"/>
    <w:basedOn w:val="a"/>
    <w:rsid w:val="00071842"/>
    <w:pPr>
      <w:spacing w:before="100" w:beforeAutospacing="1" w:after="100" w:afterAutospacing="1"/>
      <w:jc w:val="left"/>
    </w:pPr>
    <w:rPr>
      <w:kern w:val="0"/>
      <w:sz w:val="24"/>
    </w:rPr>
  </w:style>
  <w:style w:type="paragraph" w:styleId="a8">
    <w:name w:val="Body Text Indent"/>
    <w:basedOn w:val="a"/>
    <w:link w:val="a9"/>
    <w:uiPriority w:val="99"/>
    <w:semiHidden/>
    <w:unhideWhenUsed/>
    <w:rsid w:val="00071842"/>
    <w:pPr>
      <w:spacing w:after="120"/>
      <w:ind w:leftChars="200" w:left="420"/>
    </w:pPr>
  </w:style>
  <w:style w:type="character" w:customStyle="1" w:styleId="a9">
    <w:name w:val="正文文本缩进 字符"/>
    <w:basedOn w:val="a0"/>
    <w:link w:val="a8"/>
    <w:uiPriority w:val="99"/>
    <w:semiHidden/>
    <w:rsid w:val="00071842"/>
    <w:rPr>
      <w:rFonts w:ascii="Times New Roman" w:eastAsia="宋体" w:hAnsi="Times New Roman" w:cs="Times New Roman"/>
    </w:rPr>
  </w:style>
  <w:style w:type="paragraph" w:styleId="2">
    <w:name w:val="Body Text First Indent 2"/>
    <w:basedOn w:val="a8"/>
    <w:link w:val="20"/>
    <w:rsid w:val="00071842"/>
    <w:pPr>
      <w:spacing w:after="0" w:line="360" w:lineRule="auto"/>
      <w:ind w:leftChars="0" w:left="640" w:firstLineChars="200" w:firstLine="420"/>
    </w:pPr>
    <w:rPr>
      <w:rFonts w:ascii="宋体" w:hAnsi="宋体"/>
      <w:sz w:val="32"/>
    </w:rPr>
  </w:style>
  <w:style w:type="character" w:customStyle="1" w:styleId="20">
    <w:name w:val="正文文本首行缩进 2 字符"/>
    <w:basedOn w:val="a9"/>
    <w:link w:val="2"/>
    <w:rsid w:val="00071842"/>
    <w:rPr>
      <w:rFonts w:ascii="宋体" w:eastAsia="宋体" w:hAnsi="宋体" w:cs="Times New Roman"/>
      <w:sz w:val="32"/>
    </w:rPr>
  </w:style>
  <w:style w:type="paragraph" w:customStyle="1" w:styleId="Default">
    <w:name w:val="Default"/>
    <w:qFormat/>
    <w:rsid w:val="00071842"/>
    <w:pPr>
      <w:widowControl w:val="0"/>
      <w:autoSpaceDE w:val="0"/>
      <w:autoSpaceDN w:val="0"/>
      <w:adjustRightInd w:val="0"/>
    </w:pPr>
    <w:rPr>
      <w:rFonts w:ascii="宋体" w:eastAsia="宋体" w:hAnsi="Calibri" w:cs="Times New Roman"/>
      <w:color w:val="000000"/>
      <w:kern w:val="0"/>
      <w:sz w:val="24"/>
      <w:szCs w:val="24"/>
    </w:rPr>
  </w:style>
  <w:style w:type="paragraph" w:styleId="aa">
    <w:name w:val="Normal Indent"/>
    <w:aliases w:val="正文（首行缩进两字） Char Char Char Char Char Char Char,表格标题,文本条款,正文（首行缩进两字） Char Char Char Char Char Char Char Char Char Char Char Char Char Char Char Char Char Char Char Char Char Char Char Char C,正文（首行缩进两字） Char,s4,特点,表正文,正文非缩进,段1,正文不缩进,标题4 Char"/>
    <w:basedOn w:val="a"/>
    <w:link w:val="ab"/>
    <w:unhideWhenUsed/>
    <w:qFormat/>
    <w:rsid w:val="004620E8"/>
    <w:pPr>
      <w:widowControl/>
      <w:ind w:firstLineChars="200" w:firstLine="420"/>
      <w:jc w:val="left"/>
    </w:pPr>
    <w:rPr>
      <w:rFonts w:ascii="宋体" w:hAnsi="宋体" w:cs="宋体"/>
      <w:kern w:val="0"/>
      <w:sz w:val="24"/>
      <w:szCs w:val="20"/>
    </w:rPr>
  </w:style>
  <w:style w:type="character" w:customStyle="1" w:styleId="ab">
    <w:name w:val="正文缩进 字符"/>
    <w:aliases w:val="正文（首行缩进两字） Char Char Char Char Char Char Char 字符,表格标题 字符,文本条款 字符,正文（首行缩进两字） Char Char Char Char Char Char Char Char Char Char Char Char Char Char Char Char Char Char Char Char Char Char Char Char C 字符,正文（首行缩进两字） Char 字符,s4 字符,特点 字符,表正文 字符,段1 字符"/>
    <w:link w:val="aa"/>
    <w:rsid w:val="004620E8"/>
    <w:rPr>
      <w:rFonts w:ascii="宋体" w:eastAsia="宋体" w:hAnsi="宋体" w:cs="宋体"/>
      <w:kern w:val="0"/>
      <w:sz w:val="24"/>
      <w:szCs w:val="20"/>
    </w:rPr>
  </w:style>
  <w:style w:type="paragraph" w:customStyle="1" w:styleId="ac">
    <w:name w:val="报告表正文"/>
    <w:basedOn w:val="a"/>
    <w:link w:val="Char"/>
    <w:qFormat/>
    <w:rsid w:val="004620E8"/>
    <w:pPr>
      <w:spacing w:line="360" w:lineRule="auto"/>
      <w:ind w:firstLineChars="200" w:firstLine="200"/>
      <w:textAlignment w:val="baseline"/>
    </w:pPr>
    <w:rPr>
      <w:sz w:val="24"/>
      <w:szCs w:val="20"/>
    </w:rPr>
  </w:style>
  <w:style w:type="character" w:customStyle="1" w:styleId="Char">
    <w:name w:val="报告表正文 Char"/>
    <w:link w:val="ac"/>
    <w:qFormat/>
    <w:rsid w:val="004620E8"/>
    <w:rPr>
      <w:rFonts w:ascii="Times New Roman" w:eastAsia="宋体" w:hAnsi="Times New Roman" w:cs="Times New Roman"/>
      <w:sz w:val="24"/>
      <w:szCs w:val="20"/>
    </w:rPr>
  </w:style>
  <w:style w:type="paragraph" w:styleId="ad">
    <w:name w:val="Document Map"/>
    <w:basedOn w:val="a"/>
    <w:link w:val="ae"/>
    <w:unhideWhenUsed/>
    <w:qFormat/>
    <w:rsid w:val="00223908"/>
    <w:pPr>
      <w:widowControl/>
      <w:jc w:val="left"/>
    </w:pPr>
    <w:rPr>
      <w:rFonts w:ascii="宋体" w:hAnsi="宋体" w:cs="宋体"/>
      <w:kern w:val="0"/>
      <w:sz w:val="18"/>
      <w:szCs w:val="18"/>
    </w:rPr>
  </w:style>
  <w:style w:type="character" w:customStyle="1" w:styleId="ae">
    <w:name w:val="文档结构图 字符"/>
    <w:basedOn w:val="a0"/>
    <w:link w:val="ad"/>
    <w:qFormat/>
    <w:rsid w:val="00223908"/>
    <w:rPr>
      <w:rFonts w:ascii="宋体" w:eastAsia="宋体" w:hAnsi="宋体" w:cs="宋体"/>
      <w:kern w:val="0"/>
      <w:sz w:val="18"/>
      <w:szCs w:val="18"/>
    </w:rPr>
  </w:style>
  <w:style w:type="character" w:styleId="af">
    <w:name w:val="annotation reference"/>
    <w:basedOn w:val="a0"/>
    <w:uiPriority w:val="99"/>
    <w:semiHidden/>
    <w:unhideWhenUsed/>
    <w:rsid w:val="00D725E0"/>
    <w:rPr>
      <w:sz w:val="21"/>
      <w:szCs w:val="21"/>
    </w:rPr>
  </w:style>
  <w:style w:type="paragraph" w:styleId="af0">
    <w:name w:val="annotation text"/>
    <w:basedOn w:val="a"/>
    <w:link w:val="af1"/>
    <w:uiPriority w:val="99"/>
    <w:semiHidden/>
    <w:unhideWhenUsed/>
    <w:rsid w:val="00D725E0"/>
    <w:pPr>
      <w:jc w:val="left"/>
    </w:pPr>
  </w:style>
  <w:style w:type="character" w:customStyle="1" w:styleId="af1">
    <w:name w:val="批注文字 字符"/>
    <w:basedOn w:val="a0"/>
    <w:link w:val="af0"/>
    <w:uiPriority w:val="99"/>
    <w:semiHidden/>
    <w:rsid w:val="00D725E0"/>
    <w:rPr>
      <w:rFonts w:ascii="Times New Roman" w:eastAsia="宋体" w:hAnsi="Times New Roman" w:cs="Times New Roman"/>
    </w:rPr>
  </w:style>
  <w:style w:type="paragraph" w:styleId="af2">
    <w:name w:val="annotation subject"/>
    <w:basedOn w:val="af0"/>
    <w:next w:val="af0"/>
    <w:link w:val="af3"/>
    <w:uiPriority w:val="99"/>
    <w:semiHidden/>
    <w:unhideWhenUsed/>
    <w:rsid w:val="00D725E0"/>
    <w:rPr>
      <w:b/>
      <w:bCs/>
    </w:rPr>
  </w:style>
  <w:style w:type="character" w:customStyle="1" w:styleId="af3">
    <w:name w:val="批注主题 字符"/>
    <w:basedOn w:val="af1"/>
    <w:link w:val="af2"/>
    <w:uiPriority w:val="99"/>
    <w:semiHidden/>
    <w:rsid w:val="00D725E0"/>
    <w:rPr>
      <w:rFonts w:ascii="Times New Roman" w:eastAsia="宋体" w:hAnsi="Times New Roman" w:cs="Times New Roman"/>
      <w:b/>
      <w:bCs/>
    </w:rPr>
  </w:style>
  <w:style w:type="paragraph" w:styleId="af4">
    <w:name w:val="Balloon Text"/>
    <w:basedOn w:val="a"/>
    <w:link w:val="af5"/>
    <w:uiPriority w:val="99"/>
    <w:semiHidden/>
    <w:unhideWhenUsed/>
    <w:rsid w:val="00D725E0"/>
    <w:rPr>
      <w:sz w:val="18"/>
      <w:szCs w:val="18"/>
    </w:rPr>
  </w:style>
  <w:style w:type="character" w:customStyle="1" w:styleId="af5">
    <w:name w:val="批注框文本 字符"/>
    <w:basedOn w:val="a0"/>
    <w:link w:val="af4"/>
    <w:uiPriority w:val="99"/>
    <w:semiHidden/>
    <w:rsid w:val="00D725E0"/>
    <w:rPr>
      <w:rFonts w:ascii="Times New Roman" w:eastAsia="宋体" w:hAnsi="Times New Roman" w:cs="Times New Roman"/>
      <w:sz w:val="18"/>
      <w:szCs w:val="18"/>
    </w:rPr>
  </w:style>
  <w:style w:type="paragraph" w:styleId="af6">
    <w:name w:val="Date"/>
    <w:basedOn w:val="a"/>
    <w:next w:val="a"/>
    <w:link w:val="af7"/>
    <w:uiPriority w:val="99"/>
    <w:semiHidden/>
    <w:unhideWhenUsed/>
    <w:rsid w:val="00D725E0"/>
    <w:pPr>
      <w:ind w:leftChars="2500" w:left="100"/>
    </w:pPr>
  </w:style>
  <w:style w:type="character" w:customStyle="1" w:styleId="af7">
    <w:name w:val="日期 字符"/>
    <w:basedOn w:val="a0"/>
    <w:link w:val="af6"/>
    <w:uiPriority w:val="99"/>
    <w:semiHidden/>
    <w:rsid w:val="00D725E0"/>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834</Words>
  <Characters>4760</Characters>
  <Application>Microsoft Office Word</Application>
  <DocSecurity>0</DocSecurity>
  <Lines>39</Lines>
  <Paragraphs>11</Paragraphs>
  <ScaleCrop>false</ScaleCrop>
  <Company>Microsoft</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2019-06-01T04:57:00Z</dcterms:created>
  <dcterms:modified xsi:type="dcterms:W3CDTF">2020-09-09T14:39:00Z</dcterms:modified>
</cp:coreProperties>
</file>